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EA4" w:rsidRPr="00E45EA4" w:rsidRDefault="00E45EA4" w:rsidP="00537CAD">
      <w:pPr>
        <w:rPr>
          <w:b/>
          <w:sz w:val="28"/>
          <w:szCs w:val="28"/>
        </w:rPr>
      </w:pPr>
      <w:r w:rsidRPr="00E45EA4">
        <w:rPr>
          <w:b/>
          <w:sz w:val="28"/>
          <w:szCs w:val="28"/>
        </w:rPr>
        <w:t xml:space="preserve">Inflation Targeting by </w:t>
      </w:r>
      <w:r w:rsidR="003B0882">
        <w:rPr>
          <w:b/>
          <w:sz w:val="28"/>
          <w:szCs w:val="28"/>
        </w:rPr>
        <w:t>t</w:t>
      </w:r>
      <w:r w:rsidRPr="00E45EA4">
        <w:rPr>
          <w:b/>
          <w:sz w:val="28"/>
          <w:szCs w:val="28"/>
        </w:rPr>
        <w:t>he European Central Bank</w:t>
      </w:r>
    </w:p>
    <w:p w:rsidR="003B0882" w:rsidRDefault="00537CAD" w:rsidP="000B0E14">
      <w:pPr>
        <w:spacing w:line="240" w:lineRule="auto"/>
        <w:rPr>
          <w:sz w:val="24"/>
          <w:szCs w:val="24"/>
        </w:rPr>
      </w:pPr>
      <w:r>
        <w:rPr>
          <w:sz w:val="24"/>
          <w:szCs w:val="24"/>
        </w:rPr>
        <w:t>Since its formation in 1999, the European Central Bank</w:t>
      </w:r>
      <w:r w:rsidR="003B0882">
        <w:rPr>
          <w:sz w:val="24"/>
          <w:szCs w:val="24"/>
        </w:rPr>
        <w:t xml:space="preserve"> </w:t>
      </w:r>
      <w:r w:rsidR="005D3DF2">
        <w:rPr>
          <w:sz w:val="24"/>
          <w:szCs w:val="24"/>
        </w:rPr>
        <w:t xml:space="preserve">(ECB) </w:t>
      </w:r>
      <w:r>
        <w:rPr>
          <w:sz w:val="24"/>
          <w:szCs w:val="24"/>
        </w:rPr>
        <w:t xml:space="preserve">has used an “explicit” inflation target as a policy guide.  According to the ECB’s web site: </w:t>
      </w:r>
    </w:p>
    <w:p w:rsidR="003B0882" w:rsidRDefault="00537CAD" w:rsidP="000B0E14">
      <w:pPr>
        <w:spacing w:line="240" w:lineRule="auto"/>
        <w:ind w:firstLine="720"/>
        <w:rPr>
          <w:sz w:val="24"/>
          <w:szCs w:val="24"/>
        </w:rPr>
      </w:pPr>
      <w:r>
        <w:rPr>
          <w:sz w:val="24"/>
          <w:szCs w:val="24"/>
        </w:rPr>
        <w:t>“Th</w:t>
      </w:r>
      <w:r w:rsidRPr="00537CAD">
        <w:rPr>
          <w:sz w:val="24"/>
          <w:szCs w:val="24"/>
        </w:rPr>
        <w:t>e primary objective of the ECB’s monetary policy is to maintain price stability. The ECB aims at inflation rates of below, but close to, 2% over the medium term.</w:t>
      </w:r>
      <w:r>
        <w:rPr>
          <w:sz w:val="24"/>
          <w:szCs w:val="24"/>
        </w:rPr>
        <w:t>”</w:t>
      </w:r>
      <w:r w:rsidR="00E45EA4">
        <w:rPr>
          <w:sz w:val="24"/>
          <w:szCs w:val="24"/>
        </w:rPr>
        <w:t xml:space="preserve"> </w:t>
      </w:r>
    </w:p>
    <w:p w:rsidR="00537CAD" w:rsidRPr="00537CAD" w:rsidRDefault="00E45EA4" w:rsidP="000B0E14">
      <w:pPr>
        <w:spacing w:line="240" w:lineRule="auto"/>
        <w:rPr>
          <w:sz w:val="24"/>
          <w:szCs w:val="24"/>
        </w:rPr>
      </w:pPr>
      <w:r>
        <w:rPr>
          <w:sz w:val="24"/>
          <w:szCs w:val="24"/>
        </w:rPr>
        <w:t xml:space="preserve"> Central bank</w:t>
      </w:r>
      <w:r w:rsidR="003B0882">
        <w:rPr>
          <w:sz w:val="24"/>
          <w:szCs w:val="24"/>
        </w:rPr>
        <w:t>er</w:t>
      </w:r>
      <w:r>
        <w:rPr>
          <w:sz w:val="24"/>
          <w:szCs w:val="24"/>
        </w:rPr>
        <w:t>s often use the term</w:t>
      </w:r>
      <w:r w:rsidRPr="00E45EA4">
        <w:rPr>
          <w:sz w:val="24"/>
          <w:szCs w:val="24"/>
        </w:rPr>
        <w:t xml:space="preserve"> </w:t>
      </w:r>
      <w:r>
        <w:rPr>
          <w:sz w:val="24"/>
          <w:szCs w:val="24"/>
        </w:rPr>
        <w:t>“</w:t>
      </w:r>
      <w:r w:rsidRPr="00E45EA4">
        <w:rPr>
          <w:sz w:val="24"/>
          <w:szCs w:val="24"/>
        </w:rPr>
        <w:t>anchoring of inflation expectations</w:t>
      </w:r>
      <w:r>
        <w:rPr>
          <w:sz w:val="24"/>
          <w:szCs w:val="24"/>
        </w:rPr>
        <w:t xml:space="preserve">.”  This term refers to the bank achieving its inflation target so to avoid changes in “inflationary expectations.”  If the ECB can consistently meet its announced inflation target of 2%, financial markets and businesses will hold their inflationary expectations stable (i.e., anchor inflationary expectations). </w:t>
      </w:r>
    </w:p>
    <w:p w:rsidR="00537CAD" w:rsidRPr="00537CAD" w:rsidRDefault="00537CAD" w:rsidP="000B0E14">
      <w:pPr>
        <w:spacing w:line="240" w:lineRule="auto"/>
        <w:rPr>
          <w:sz w:val="24"/>
          <w:szCs w:val="24"/>
        </w:rPr>
      </w:pPr>
      <w:r>
        <w:rPr>
          <w:sz w:val="24"/>
          <w:szCs w:val="24"/>
        </w:rPr>
        <w:t xml:space="preserve">Furthermore, </w:t>
      </w:r>
      <w:r w:rsidR="00E45EA4">
        <w:rPr>
          <w:sz w:val="24"/>
          <w:szCs w:val="24"/>
        </w:rPr>
        <w:t xml:space="preserve">on its web site, </w:t>
      </w:r>
      <w:r>
        <w:rPr>
          <w:sz w:val="24"/>
          <w:szCs w:val="24"/>
        </w:rPr>
        <w:t>the ECB noted that i</w:t>
      </w:r>
      <w:r w:rsidRPr="00537CAD">
        <w:rPr>
          <w:sz w:val="24"/>
          <w:szCs w:val="24"/>
        </w:rPr>
        <w:t>nflation</w:t>
      </w:r>
      <w:r w:rsidR="00E45EA4">
        <w:rPr>
          <w:sz w:val="24"/>
          <w:szCs w:val="24"/>
        </w:rPr>
        <w:t>, which</w:t>
      </w:r>
      <w:r w:rsidRPr="00537CAD">
        <w:rPr>
          <w:sz w:val="24"/>
          <w:szCs w:val="24"/>
        </w:rPr>
        <w:t xml:space="preserve"> refers to a general increase in consumer prices</w:t>
      </w:r>
      <w:r w:rsidR="00E45EA4">
        <w:rPr>
          <w:sz w:val="24"/>
          <w:szCs w:val="24"/>
        </w:rPr>
        <w:t xml:space="preserve">, </w:t>
      </w:r>
      <w:r w:rsidRPr="00537CAD">
        <w:rPr>
          <w:sz w:val="24"/>
          <w:szCs w:val="24"/>
        </w:rPr>
        <w:t>is measured by an index which has been harmoni</w:t>
      </w:r>
      <w:r w:rsidR="00E45EA4">
        <w:rPr>
          <w:sz w:val="24"/>
          <w:szCs w:val="24"/>
        </w:rPr>
        <w:t xml:space="preserve">sed across all EU Member States.  This measure of inflation is referred to as the </w:t>
      </w:r>
      <w:r w:rsidRPr="00537CAD">
        <w:rPr>
          <w:sz w:val="24"/>
          <w:szCs w:val="24"/>
        </w:rPr>
        <w:t xml:space="preserve">Harmonised Index of Consumer Prices (HICP). The HICP is the measure of inflation which the </w:t>
      </w:r>
      <w:r w:rsidR="00E45EA4">
        <w:rPr>
          <w:sz w:val="24"/>
          <w:szCs w:val="24"/>
        </w:rPr>
        <w:t xml:space="preserve">ECB </w:t>
      </w:r>
      <w:r>
        <w:rPr>
          <w:sz w:val="24"/>
          <w:szCs w:val="24"/>
        </w:rPr>
        <w:t>uses</w:t>
      </w:r>
      <w:r w:rsidRPr="00537CAD">
        <w:rPr>
          <w:sz w:val="24"/>
          <w:szCs w:val="24"/>
        </w:rPr>
        <w:t xml:space="preserve"> to define and assess price stability in the euro area </w:t>
      </w:r>
      <w:r w:rsidR="00E45EA4">
        <w:rPr>
          <w:sz w:val="24"/>
          <w:szCs w:val="24"/>
        </w:rPr>
        <w:t>as a whole</w:t>
      </w:r>
      <w:r w:rsidRPr="00537CAD">
        <w:rPr>
          <w:sz w:val="24"/>
          <w:szCs w:val="24"/>
        </w:rPr>
        <w:t>.</w:t>
      </w:r>
    </w:p>
    <w:p w:rsidR="00537CAD" w:rsidRPr="00537CAD" w:rsidRDefault="00E45EA4" w:rsidP="000B0E14">
      <w:pPr>
        <w:spacing w:line="240" w:lineRule="auto"/>
        <w:rPr>
          <w:sz w:val="24"/>
          <w:szCs w:val="24"/>
        </w:rPr>
      </w:pPr>
      <w:r w:rsidRPr="00E45EA4">
        <w:rPr>
          <w:bCs/>
          <w:sz w:val="24"/>
          <w:szCs w:val="24"/>
        </w:rPr>
        <w:t xml:space="preserve">The ECB chart below shows </w:t>
      </w:r>
      <w:r w:rsidR="003B0882">
        <w:rPr>
          <w:bCs/>
          <w:sz w:val="24"/>
          <w:szCs w:val="24"/>
        </w:rPr>
        <w:t>i</w:t>
      </w:r>
      <w:r w:rsidR="00537CAD" w:rsidRPr="00E45EA4">
        <w:rPr>
          <w:bCs/>
          <w:sz w:val="24"/>
          <w:szCs w:val="24"/>
        </w:rPr>
        <w:t>nflation in the euro area</w:t>
      </w:r>
      <w:r w:rsidR="00537CAD" w:rsidRPr="00537CAD">
        <w:rPr>
          <w:b/>
          <w:bCs/>
          <w:sz w:val="24"/>
          <w:szCs w:val="24"/>
        </w:rPr>
        <w:t xml:space="preserve"> </w:t>
      </w:r>
      <w:r w:rsidR="00537CAD" w:rsidRPr="00537CAD">
        <w:rPr>
          <w:sz w:val="24"/>
          <w:szCs w:val="24"/>
        </w:rPr>
        <w:t xml:space="preserve">(annual percentage </w:t>
      </w:r>
      <w:r w:rsidR="003B0882">
        <w:rPr>
          <w:sz w:val="24"/>
          <w:szCs w:val="24"/>
        </w:rPr>
        <w:t>changes</w:t>
      </w:r>
      <w:r w:rsidR="00537CAD" w:rsidRPr="00537CAD">
        <w:rPr>
          <w:sz w:val="24"/>
          <w:szCs w:val="24"/>
        </w:rPr>
        <w:t>)</w:t>
      </w:r>
      <w:r>
        <w:rPr>
          <w:sz w:val="24"/>
          <w:szCs w:val="24"/>
        </w:rPr>
        <w:t>.  As you can see, HICP is currently running above the ECB’s 2% target rate</w:t>
      </w:r>
      <w:r w:rsidR="005D3DF2">
        <w:rPr>
          <w:sz w:val="24"/>
          <w:szCs w:val="24"/>
        </w:rPr>
        <w:t xml:space="preserve"> (January annualized data at 2.4</w:t>
      </w:r>
      <w:bookmarkStart w:id="0" w:name="_GoBack"/>
      <w:bookmarkEnd w:id="0"/>
      <w:r w:rsidR="005D3DF2">
        <w:rPr>
          <w:sz w:val="24"/>
          <w:szCs w:val="24"/>
        </w:rPr>
        <w:t>%)</w:t>
      </w:r>
      <w:r>
        <w:rPr>
          <w:sz w:val="24"/>
          <w:szCs w:val="24"/>
        </w:rPr>
        <w:t>.</w:t>
      </w:r>
    </w:p>
    <w:p w:rsidR="00537CAD" w:rsidRPr="00537CAD" w:rsidRDefault="00537CAD" w:rsidP="00537CAD">
      <w:pPr>
        <w:rPr>
          <w:sz w:val="24"/>
          <w:szCs w:val="24"/>
        </w:rPr>
      </w:pPr>
      <w:r w:rsidRPr="00537CAD">
        <w:rPr>
          <w:sz w:val="24"/>
          <w:szCs w:val="24"/>
        </w:rPr>
        <w:t xml:space="preserve">Average </w:t>
      </w:r>
      <w:r w:rsidR="00E45EA4">
        <w:rPr>
          <w:sz w:val="24"/>
          <w:szCs w:val="24"/>
        </w:rPr>
        <w:t xml:space="preserve">HICP </w:t>
      </w:r>
      <w:r w:rsidRPr="00537CAD">
        <w:rPr>
          <w:sz w:val="24"/>
          <w:szCs w:val="24"/>
        </w:rPr>
        <w:t>inflation since 1999</w:t>
      </w:r>
    </w:p>
    <w:p w:rsidR="003B0882" w:rsidRDefault="00537CAD" w:rsidP="00E45EA4">
      <w:pPr>
        <w:rPr>
          <w:bCs/>
          <w:sz w:val="24"/>
          <w:szCs w:val="24"/>
        </w:rPr>
      </w:pPr>
      <w:r w:rsidRPr="00537CAD">
        <w:rPr>
          <w:noProof/>
          <w:sz w:val="24"/>
          <w:szCs w:val="24"/>
        </w:rPr>
        <w:drawing>
          <wp:inline distT="0" distB="0" distL="0" distR="0">
            <wp:extent cx="4410075" cy="2971800"/>
            <wp:effectExtent l="0" t="0" r="9525" b="0"/>
            <wp:docPr id="3" name="Picture 3" descr="Chart showing the monthly HICP inflation rate in the euro area since 1991 and the a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descr="Chart showing the monthly HICP inflation rate in the euro area since 1991 and the aver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075" cy="2971800"/>
                    </a:xfrm>
                    <a:prstGeom prst="rect">
                      <a:avLst/>
                    </a:prstGeom>
                    <a:noFill/>
                    <a:ln>
                      <a:noFill/>
                    </a:ln>
                  </pic:spPr>
                </pic:pic>
              </a:graphicData>
            </a:graphic>
          </wp:inline>
        </w:drawing>
      </w:r>
    </w:p>
    <w:p w:rsidR="00E45EA4" w:rsidRPr="00537CAD" w:rsidRDefault="00E45EA4" w:rsidP="00E45EA4">
      <w:pPr>
        <w:rPr>
          <w:b/>
          <w:bCs/>
          <w:sz w:val="28"/>
          <w:szCs w:val="28"/>
        </w:rPr>
      </w:pPr>
      <w:r w:rsidRPr="00537CAD">
        <w:rPr>
          <w:b/>
          <w:bCs/>
          <w:sz w:val="28"/>
          <w:szCs w:val="28"/>
        </w:rPr>
        <w:t>ECB May Raise Rates on Inflation Risks</w:t>
      </w:r>
      <w:r w:rsidR="003B0882">
        <w:rPr>
          <w:b/>
          <w:bCs/>
          <w:sz w:val="28"/>
          <w:szCs w:val="28"/>
        </w:rPr>
        <w:t>, Bloomberg.com</w:t>
      </w:r>
      <w:r w:rsidRPr="00537CAD">
        <w:rPr>
          <w:b/>
          <w:bCs/>
          <w:sz w:val="28"/>
          <w:szCs w:val="28"/>
        </w:rPr>
        <w:t xml:space="preserve"> </w:t>
      </w:r>
    </w:p>
    <w:p w:rsidR="00537CAD" w:rsidRPr="00537CAD" w:rsidRDefault="00537CAD" w:rsidP="000B0E14">
      <w:pPr>
        <w:spacing w:line="240" w:lineRule="auto"/>
        <w:rPr>
          <w:sz w:val="24"/>
          <w:szCs w:val="24"/>
        </w:rPr>
      </w:pPr>
      <w:r w:rsidRPr="00537CAD">
        <w:rPr>
          <w:sz w:val="24"/>
          <w:szCs w:val="24"/>
        </w:rPr>
        <w:t xml:space="preserve">February 18, 2011 (Bloomberg) -- </w:t>
      </w:r>
      <w:r w:rsidR="003B0882">
        <w:rPr>
          <w:sz w:val="24"/>
          <w:szCs w:val="24"/>
        </w:rPr>
        <w:t xml:space="preserve">European Central Bank </w:t>
      </w:r>
      <w:r w:rsidRPr="00537CAD">
        <w:rPr>
          <w:sz w:val="24"/>
          <w:szCs w:val="24"/>
        </w:rPr>
        <w:t xml:space="preserve">Board member </w:t>
      </w:r>
      <w:hyperlink r:id="rId8" w:history="1">
        <w:r w:rsidRPr="00537CAD">
          <w:rPr>
            <w:rStyle w:val="Hyperlink"/>
            <w:bCs/>
            <w:color w:val="auto"/>
            <w:sz w:val="24"/>
            <w:szCs w:val="24"/>
            <w:u w:val="none"/>
          </w:rPr>
          <w:t>Lorenzo Bini Smaghi</w:t>
        </w:r>
      </w:hyperlink>
      <w:r w:rsidRPr="00537CAD">
        <w:rPr>
          <w:sz w:val="24"/>
          <w:szCs w:val="24"/>
        </w:rPr>
        <w:t xml:space="preserve"> said the </w:t>
      </w:r>
      <w:r w:rsidR="003B0882">
        <w:rPr>
          <w:sz w:val="24"/>
          <w:szCs w:val="24"/>
        </w:rPr>
        <w:t xml:space="preserve">central </w:t>
      </w:r>
      <w:r w:rsidRPr="00537CAD">
        <w:rPr>
          <w:sz w:val="24"/>
          <w:szCs w:val="24"/>
        </w:rPr>
        <w:t xml:space="preserve">bank may need to raise interest rates as global inflation pressures mount. </w:t>
      </w:r>
    </w:p>
    <w:p w:rsidR="00537CAD" w:rsidRPr="00537CAD" w:rsidRDefault="00537CAD" w:rsidP="000B0E14">
      <w:pPr>
        <w:spacing w:line="240" w:lineRule="auto"/>
        <w:rPr>
          <w:sz w:val="24"/>
          <w:szCs w:val="24"/>
        </w:rPr>
      </w:pPr>
      <w:r w:rsidRPr="00537CAD">
        <w:rPr>
          <w:sz w:val="24"/>
          <w:szCs w:val="24"/>
        </w:rPr>
        <w:lastRenderedPageBreak/>
        <w:t>“As the economy gradually recovers and global inflationary pressures arise, the degree of accommodation of monetary policy has to be monitored and, if neede</w:t>
      </w:r>
      <w:r w:rsidR="003B0882">
        <w:rPr>
          <w:sz w:val="24"/>
          <w:szCs w:val="24"/>
        </w:rPr>
        <w:t>d, corrected,” Bini Smaghi said</w:t>
      </w:r>
      <w:r w:rsidRPr="00537CAD">
        <w:rPr>
          <w:sz w:val="24"/>
          <w:szCs w:val="24"/>
        </w:rPr>
        <w:t xml:space="preserve">. Commodity-price increases will “have an unavoidable impact” and “it is </w:t>
      </w:r>
      <w:r w:rsidRPr="003B0882">
        <w:rPr>
          <w:sz w:val="24"/>
          <w:szCs w:val="24"/>
          <w:u w:val="single"/>
        </w:rPr>
        <w:t>a key challenge for monetary policy to avoid spillovers and maintain inflation expectations in check</w:t>
      </w:r>
      <w:r w:rsidRPr="00537CAD">
        <w:rPr>
          <w:sz w:val="24"/>
          <w:szCs w:val="24"/>
        </w:rPr>
        <w:t xml:space="preserve">,” he said. “This requires the ability to take pre-emptive actions if needed.” </w:t>
      </w:r>
    </w:p>
    <w:p w:rsidR="00537CAD" w:rsidRPr="00537CAD" w:rsidRDefault="00537CAD" w:rsidP="000B0E14">
      <w:pPr>
        <w:spacing w:line="240" w:lineRule="auto"/>
        <w:rPr>
          <w:sz w:val="24"/>
          <w:szCs w:val="24"/>
        </w:rPr>
      </w:pPr>
      <w:r w:rsidRPr="00537CAD">
        <w:rPr>
          <w:sz w:val="24"/>
          <w:szCs w:val="24"/>
        </w:rPr>
        <w:t xml:space="preserve">Bini Smaghi’s comments suggest officials are becoming more concerned about </w:t>
      </w:r>
      <w:hyperlink r:id="rId9" w:history="1">
        <w:r w:rsidRPr="00537CAD">
          <w:rPr>
            <w:rStyle w:val="Hyperlink"/>
            <w:bCs/>
            <w:color w:val="auto"/>
            <w:sz w:val="24"/>
            <w:szCs w:val="24"/>
            <w:u w:val="none"/>
          </w:rPr>
          <w:t>inflation</w:t>
        </w:r>
      </w:hyperlink>
      <w:r w:rsidRPr="00537CAD">
        <w:rPr>
          <w:sz w:val="24"/>
          <w:szCs w:val="24"/>
        </w:rPr>
        <w:t xml:space="preserve">, which has already breached the ECB’s 2 percent limit and is running at the fastest pace in more than two years. The ECB has held its </w:t>
      </w:r>
      <w:hyperlink r:id="rId10" w:history="1">
        <w:r w:rsidRPr="00537CAD">
          <w:rPr>
            <w:rStyle w:val="Hyperlink"/>
            <w:bCs/>
            <w:color w:val="auto"/>
            <w:sz w:val="24"/>
            <w:szCs w:val="24"/>
            <w:u w:val="none"/>
          </w:rPr>
          <w:t>benchmark rate</w:t>
        </w:r>
      </w:hyperlink>
      <w:r w:rsidRPr="00537CAD">
        <w:rPr>
          <w:sz w:val="24"/>
          <w:szCs w:val="24"/>
        </w:rPr>
        <w:t xml:space="preserve"> at a record low of 1 percent for almost two years, helping to haul the euro area out of recession. </w:t>
      </w:r>
    </w:p>
    <w:p w:rsidR="00537CAD" w:rsidRPr="00537CAD" w:rsidRDefault="00537CAD" w:rsidP="000B0E14">
      <w:pPr>
        <w:spacing w:line="240" w:lineRule="auto"/>
        <w:rPr>
          <w:sz w:val="24"/>
          <w:szCs w:val="24"/>
        </w:rPr>
      </w:pPr>
      <w:r w:rsidRPr="00537CAD">
        <w:rPr>
          <w:sz w:val="24"/>
          <w:szCs w:val="24"/>
        </w:rPr>
        <w:t xml:space="preserve">While the sovereign debt crisis is crimping growth in high- deficit nations, Germany’s economy is booming. Forecasters in an ECB survey this month raised their longer-term inflation </w:t>
      </w:r>
    </w:p>
    <w:p w:rsidR="00537CAD" w:rsidRPr="00537CAD" w:rsidRDefault="00537CAD" w:rsidP="000B0E14">
      <w:pPr>
        <w:spacing w:line="240" w:lineRule="auto"/>
        <w:rPr>
          <w:sz w:val="24"/>
          <w:szCs w:val="24"/>
        </w:rPr>
      </w:pPr>
      <w:r w:rsidRPr="00537CAD">
        <w:rPr>
          <w:sz w:val="24"/>
          <w:szCs w:val="24"/>
        </w:rPr>
        <w:t>“</w:t>
      </w:r>
      <w:r w:rsidRPr="003B0882">
        <w:rPr>
          <w:sz w:val="24"/>
          <w:szCs w:val="24"/>
          <w:u w:val="single"/>
        </w:rPr>
        <w:t>The continued firm anchoring of inflation expectations is essential</w:t>
      </w:r>
      <w:r w:rsidRPr="00537CAD">
        <w:rPr>
          <w:sz w:val="24"/>
          <w:szCs w:val="24"/>
        </w:rPr>
        <w:t>,” Bini Smaghi</w:t>
      </w:r>
      <w:r w:rsidR="003B0882">
        <w:rPr>
          <w:sz w:val="24"/>
          <w:szCs w:val="24"/>
        </w:rPr>
        <w:t xml:space="preserve"> said</w:t>
      </w:r>
      <w:r w:rsidRPr="00537CAD">
        <w:rPr>
          <w:sz w:val="24"/>
          <w:szCs w:val="24"/>
        </w:rPr>
        <w:t xml:space="preserve">. </w:t>
      </w:r>
    </w:p>
    <w:p w:rsidR="00537CAD" w:rsidRPr="00537CAD" w:rsidRDefault="00537CAD" w:rsidP="000B0E14">
      <w:pPr>
        <w:spacing w:line="240" w:lineRule="auto"/>
        <w:rPr>
          <w:sz w:val="24"/>
          <w:szCs w:val="24"/>
        </w:rPr>
      </w:pPr>
      <w:r w:rsidRPr="00537CAD">
        <w:rPr>
          <w:sz w:val="24"/>
          <w:szCs w:val="24"/>
        </w:rPr>
        <w:t xml:space="preserve">The euro jumped almost a cent against the dollar to as high as $1.3642 after the remarks were published. Government bonds fell.  Policy makers are “telling the market that it can’t expect the main rate to be kept at an emergency level until the debt crisis is solved,” said </w:t>
      </w:r>
      <w:hyperlink r:id="rId11" w:history="1">
        <w:r w:rsidRPr="00537CAD">
          <w:rPr>
            <w:rStyle w:val="Hyperlink"/>
            <w:bCs/>
            <w:color w:val="auto"/>
            <w:sz w:val="24"/>
            <w:szCs w:val="24"/>
            <w:u w:val="none"/>
          </w:rPr>
          <w:t>Marco Valli</w:t>
        </w:r>
      </w:hyperlink>
      <w:r w:rsidRPr="00537CAD">
        <w:rPr>
          <w:sz w:val="24"/>
          <w:szCs w:val="24"/>
        </w:rPr>
        <w:t xml:space="preserve">, chief euro-area economist at UniCredit Group in Milan. </w:t>
      </w:r>
    </w:p>
    <w:p w:rsidR="00537CAD" w:rsidRPr="00537CAD" w:rsidRDefault="00537CAD" w:rsidP="000B0E14">
      <w:pPr>
        <w:spacing w:line="240" w:lineRule="auto"/>
        <w:rPr>
          <w:sz w:val="24"/>
          <w:szCs w:val="24"/>
        </w:rPr>
      </w:pPr>
      <w:r w:rsidRPr="00537CAD">
        <w:rPr>
          <w:sz w:val="24"/>
          <w:szCs w:val="24"/>
        </w:rPr>
        <w:t xml:space="preserve"> “Markets now see a risk of the first rate increase coming as early as September,” said </w:t>
      </w:r>
      <w:hyperlink r:id="rId12" w:history="1">
        <w:r w:rsidRPr="00537CAD">
          <w:rPr>
            <w:rStyle w:val="Hyperlink"/>
            <w:bCs/>
            <w:color w:val="auto"/>
            <w:sz w:val="24"/>
            <w:szCs w:val="24"/>
            <w:u w:val="none"/>
          </w:rPr>
          <w:t>Laurent Bilke</w:t>
        </w:r>
      </w:hyperlink>
      <w:r w:rsidRPr="00537CAD">
        <w:rPr>
          <w:sz w:val="24"/>
          <w:szCs w:val="24"/>
        </w:rPr>
        <w:t xml:space="preserve">, head of global inflation strategy at Nomura International in London. “The inflation outlook warrants that.” </w:t>
      </w:r>
    </w:p>
    <w:p w:rsidR="00537CAD" w:rsidRPr="00537CAD" w:rsidRDefault="00537CAD" w:rsidP="000B0E14">
      <w:pPr>
        <w:spacing w:line="240" w:lineRule="auto"/>
        <w:rPr>
          <w:sz w:val="24"/>
          <w:szCs w:val="24"/>
        </w:rPr>
      </w:pPr>
      <w:r w:rsidRPr="00537CAD">
        <w:rPr>
          <w:sz w:val="24"/>
          <w:szCs w:val="24"/>
        </w:rPr>
        <w:t xml:space="preserve">Barclays Capital changed its rate forecast today, and said it expects the first 25 basis-point increase in September and another in December. Barclays previously predicted the ECB wouldn’t tighten until June 2012. </w:t>
      </w:r>
    </w:p>
    <w:p w:rsidR="00537CAD" w:rsidRPr="00537CAD" w:rsidRDefault="00537CAD" w:rsidP="000B0E14">
      <w:pPr>
        <w:spacing w:line="240" w:lineRule="auto"/>
        <w:rPr>
          <w:sz w:val="24"/>
          <w:szCs w:val="24"/>
        </w:rPr>
      </w:pPr>
      <w:r w:rsidRPr="00537CAD">
        <w:rPr>
          <w:sz w:val="24"/>
          <w:szCs w:val="24"/>
        </w:rPr>
        <w:t xml:space="preserve">Asked whether markets are correct to assume that the ECB may raise rates later this year, Bini Smaghi said: “Financial market participants know that the ECB’s objective is to maintain price stability for the euro area as a whole. The ECB has clearly and repeatedly communicated its alertness.” </w:t>
      </w:r>
    </w:p>
    <w:p w:rsidR="00537CAD" w:rsidRPr="00537CAD" w:rsidRDefault="00537CAD" w:rsidP="000B0E14">
      <w:pPr>
        <w:spacing w:line="240" w:lineRule="auto"/>
        <w:rPr>
          <w:sz w:val="24"/>
          <w:szCs w:val="24"/>
        </w:rPr>
      </w:pPr>
      <w:r w:rsidRPr="00537CAD">
        <w:rPr>
          <w:sz w:val="24"/>
          <w:szCs w:val="24"/>
        </w:rPr>
        <w:t xml:space="preserve">Political tensions in the Middle East and North Africa are stoking oil prices, while in Germany, where import-price inflation is running at the fastest pace in 29 years, workers are demanding bigger pay increases. </w:t>
      </w:r>
    </w:p>
    <w:p w:rsidR="00537CAD" w:rsidRPr="00537CAD" w:rsidRDefault="00537CAD" w:rsidP="000B0E14">
      <w:pPr>
        <w:spacing w:line="240" w:lineRule="auto"/>
        <w:rPr>
          <w:sz w:val="24"/>
          <w:szCs w:val="24"/>
        </w:rPr>
      </w:pPr>
      <w:r w:rsidRPr="00537CAD">
        <w:rPr>
          <w:sz w:val="24"/>
          <w:szCs w:val="24"/>
        </w:rPr>
        <w:t xml:space="preserve">Euro-area inflation accelerated to 2.4 percent in January, and a survey of purchasing managers in the manufacturing industry this month showed input-price inflation jumped to a record in France, Italy and Austria. </w:t>
      </w:r>
    </w:p>
    <w:p w:rsidR="00537CAD" w:rsidRPr="00537CAD" w:rsidRDefault="00537CAD" w:rsidP="000B0E14">
      <w:pPr>
        <w:spacing w:line="240" w:lineRule="auto"/>
        <w:rPr>
          <w:sz w:val="24"/>
          <w:szCs w:val="24"/>
        </w:rPr>
      </w:pPr>
      <w:r w:rsidRPr="00537CAD">
        <w:rPr>
          <w:sz w:val="24"/>
          <w:szCs w:val="24"/>
        </w:rPr>
        <w:t xml:space="preserve">The debt crisis and economic divergences in the 17-nation currency bloc are complicating the ECB’s task of applying a one- size-fits-all monetary policy. While Germany’s economy grew 3.6 percent last year, the most since reunification two decades ago, Ireland, Greece, Portugal and Spain are struggling to emerge from their slumps. </w:t>
      </w:r>
    </w:p>
    <w:p w:rsidR="00537CAD" w:rsidRPr="00537CAD" w:rsidRDefault="00537CAD" w:rsidP="000B0E14">
      <w:pPr>
        <w:spacing w:line="240" w:lineRule="auto"/>
        <w:rPr>
          <w:sz w:val="24"/>
          <w:szCs w:val="24"/>
        </w:rPr>
      </w:pPr>
      <w:r w:rsidRPr="00537CAD">
        <w:rPr>
          <w:sz w:val="24"/>
          <w:szCs w:val="24"/>
        </w:rPr>
        <w:lastRenderedPageBreak/>
        <w:t xml:space="preserve">Policy makers convene in Frankfurt for their next rate- setting meeting on March 3, when the ECB will also publish new growth and inflation forecasts. </w:t>
      </w:r>
    </w:p>
    <w:p w:rsidR="002A0A3B" w:rsidRDefault="000B0E14">
      <w:pPr>
        <w:rPr>
          <w:b/>
          <w:sz w:val="28"/>
          <w:szCs w:val="28"/>
        </w:rPr>
      </w:pPr>
      <w:r w:rsidRPr="000B0E14">
        <w:rPr>
          <w:b/>
          <w:sz w:val="28"/>
          <w:szCs w:val="28"/>
        </w:rPr>
        <w:t>Impact on Yield Curve</w:t>
      </w:r>
      <w:r>
        <w:rPr>
          <w:b/>
          <w:sz w:val="28"/>
          <w:szCs w:val="28"/>
        </w:rPr>
        <w:t xml:space="preserve"> (data for Feb 18, 2011): German Bunds</w:t>
      </w:r>
    </w:p>
    <w:tbl>
      <w:tblPr>
        <w:tblW w:w="0" w:type="auto"/>
        <w:tblCellSpacing w:w="7" w:type="dxa"/>
        <w:shd w:val="clear" w:color="auto" w:fill="D2E1E8"/>
        <w:tblCellMar>
          <w:left w:w="0" w:type="dxa"/>
          <w:right w:w="0" w:type="dxa"/>
        </w:tblCellMar>
        <w:tblLook w:val="04A0" w:firstRow="1" w:lastRow="0" w:firstColumn="1" w:lastColumn="0" w:noHBand="0" w:noVBand="1"/>
      </w:tblPr>
      <w:tblGrid>
        <w:gridCol w:w="7438"/>
      </w:tblGrid>
      <w:tr w:rsidR="000B0E14" w:rsidRPr="000B0E14">
        <w:trPr>
          <w:tblCellSpacing w:w="7" w:type="dxa"/>
        </w:trPr>
        <w:tc>
          <w:tcPr>
            <w:tcW w:w="0" w:type="auto"/>
            <w:shd w:val="clear" w:color="auto" w:fill="D2E1E8"/>
            <w:tcMar>
              <w:top w:w="60" w:type="dxa"/>
              <w:left w:w="60" w:type="dxa"/>
              <w:bottom w:w="60" w:type="dxa"/>
              <w:right w:w="60" w:type="dxa"/>
            </w:tcMar>
            <w:vAlign w:val="center"/>
            <w:hideMark/>
          </w:tcPr>
          <w:p w:rsidR="000B0E14" w:rsidRPr="000B0E14" w:rsidRDefault="000B0E14" w:rsidP="000B0E14">
            <w:pPr>
              <w:spacing w:after="0" w:line="240" w:lineRule="auto"/>
              <w:rPr>
                <w:rFonts w:ascii="Verdana" w:eastAsia="Times New Roman" w:hAnsi="Verdana" w:cs="Times New Roman"/>
                <w:color w:val="FFFFFF"/>
              </w:rPr>
            </w:pPr>
          </w:p>
        </w:tc>
      </w:tr>
      <w:tr w:rsidR="000B0E14" w:rsidRPr="000B0E14" w:rsidTr="000B0E14">
        <w:trPr>
          <w:trHeight w:val="5018"/>
          <w:tblCellSpacing w:w="7" w:type="dxa"/>
        </w:trPr>
        <w:tc>
          <w:tcPr>
            <w:tcW w:w="0" w:type="auto"/>
            <w:shd w:val="clear" w:color="auto" w:fill="D2E1E8"/>
            <w:tcMar>
              <w:top w:w="60" w:type="dxa"/>
              <w:left w:w="60" w:type="dxa"/>
              <w:bottom w:w="60" w:type="dxa"/>
              <w:right w:w="60" w:type="dxa"/>
            </w:tcMar>
            <w:hideMark/>
          </w:tcPr>
          <w:tbl>
            <w:tblPr>
              <w:tblW w:w="7290" w:type="dxa"/>
              <w:jc w:val="center"/>
              <w:tblCellSpacing w:w="15" w:type="dxa"/>
              <w:tblCellMar>
                <w:top w:w="30" w:type="dxa"/>
                <w:left w:w="30" w:type="dxa"/>
                <w:bottom w:w="30" w:type="dxa"/>
                <w:right w:w="30" w:type="dxa"/>
              </w:tblCellMar>
              <w:tblLook w:val="04A0" w:firstRow="1" w:lastRow="0" w:firstColumn="1" w:lastColumn="0" w:noHBand="0" w:noVBand="1"/>
            </w:tblPr>
            <w:tblGrid>
              <w:gridCol w:w="1212"/>
              <w:gridCol w:w="1086"/>
              <w:gridCol w:w="1327"/>
              <w:gridCol w:w="1653"/>
              <w:gridCol w:w="2012"/>
            </w:tblGrid>
            <w:tr w:rsidR="000B0E14" w:rsidRPr="000B0E14" w:rsidTr="000B0E14">
              <w:trPr>
                <w:tblCellSpacing w:w="15" w:type="dxa"/>
                <w:jc w:val="center"/>
              </w:trPr>
              <w:tc>
                <w:tcPr>
                  <w:tcW w:w="0" w:type="auto"/>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FFFFFF"/>
                    </w:rPr>
                    <w:t> </w:t>
                  </w:r>
                </w:p>
              </w:tc>
              <w:tc>
                <w:tcPr>
                  <w:tcW w:w="0" w:type="auto"/>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COUPON</w:t>
                  </w:r>
                </w:p>
              </w:tc>
              <w:tc>
                <w:tcPr>
                  <w:tcW w:w="0" w:type="auto"/>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MATURITY</w:t>
                  </w:r>
                  <w:r w:rsidRPr="000B0E14">
                    <w:rPr>
                      <w:rFonts w:ascii="Verdana" w:eastAsia="Times New Roman" w:hAnsi="Verdana" w:cs="Times New Roman"/>
                      <w:b/>
                      <w:bCs/>
                      <w:caps/>
                      <w:color w:val="000000"/>
                      <w:sz w:val="17"/>
                      <w:szCs w:val="17"/>
                    </w:rPr>
                    <w:br/>
                    <w:t>DATE</w:t>
                  </w:r>
                </w:p>
              </w:tc>
              <w:tc>
                <w:tcPr>
                  <w:tcW w:w="0" w:type="auto"/>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CURRENT</w:t>
                  </w:r>
                  <w:r w:rsidRPr="000B0E14">
                    <w:rPr>
                      <w:rFonts w:ascii="Verdana" w:eastAsia="Times New Roman" w:hAnsi="Verdana" w:cs="Times New Roman"/>
                      <w:b/>
                      <w:bCs/>
                      <w:caps/>
                      <w:color w:val="000000"/>
                      <w:sz w:val="17"/>
                      <w:szCs w:val="17"/>
                    </w:rPr>
                    <w:br/>
                    <w:t>PRICE/YIELD</w:t>
                  </w:r>
                </w:p>
              </w:tc>
              <w:tc>
                <w:tcPr>
                  <w:tcW w:w="1967" w:type="dxa"/>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PRICE/YIELD</w:t>
                  </w:r>
                  <w:r w:rsidRPr="000B0E14">
                    <w:rPr>
                      <w:rFonts w:ascii="Verdana" w:eastAsia="Times New Roman" w:hAnsi="Verdana" w:cs="Times New Roman"/>
                      <w:b/>
                      <w:bCs/>
                      <w:caps/>
                      <w:color w:val="000000"/>
                      <w:sz w:val="17"/>
                      <w:szCs w:val="17"/>
                    </w:rPr>
                    <w:br/>
                    <w:t>CHANGE</w:t>
                  </w:r>
                </w:p>
              </w:tc>
            </w:tr>
            <w:tr w:rsidR="000B0E14" w:rsidRPr="000B0E14" w:rsidTr="000B0E14">
              <w:trPr>
                <w:tblCellSpacing w:w="15" w:type="dxa"/>
                <w:jc w:val="center"/>
              </w:trPr>
              <w:tc>
                <w:tcPr>
                  <w:tcW w:w="0" w:type="auto"/>
                  <w:shd w:val="clear" w:color="auto" w:fill="FFFFFF"/>
                  <w:vAlign w:val="center"/>
                  <w:hideMark/>
                </w:tcPr>
                <w:p w:rsidR="000B0E14" w:rsidRPr="000B0E14" w:rsidRDefault="000B0E14" w:rsidP="000B0E14">
                  <w:pPr>
                    <w:spacing w:after="0" w:line="240" w:lineRule="auto"/>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3-Month</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0.000</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05/11/2011</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99.88 / .60</w:t>
                  </w:r>
                </w:p>
              </w:tc>
              <w:tc>
                <w:tcPr>
                  <w:tcW w:w="1967" w:type="dxa"/>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aps/>
                      <w:color w:val="006633"/>
                      <w:sz w:val="17"/>
                      <w:szCs w:val="17"/>
                    </w:rPr>
                    <w:t>0.005</w:t>
                  </w:r>
                  <w:r w:rsidRPr="000B0E14">
                    <w:rPr>
                      <w:rFonts w:ascii="Verdana" w:eastAsia="Times New Roman" w:hAnsi="Verdana" w:cs="Times New Roman"/>
                      <w:color w:val="000000"/>
                      <w:sz w:val="17"/>
                      <w:szCs w:val="17"/>
                    </w:rPr>
                    <w:t xml:space="preserve"> / </w:t>
                  </w:r>
                  <w:r w:rsidRPr="000B0E14">
                    <w:rPr>
                      <w:rFonts w:ascii="Verdana" w:eastAsia="Times New Roman" w:hAnsi="Verdana" w:cs="Times New Roman"/>
                      <w:caps/>
                      <w:color w:val="FF3300"/>
                      <w:sz w:val="17"/>
                      <w:szCs w:val="17"/>
                    </w:rPr>
                    <w:t>-.015</w:t>
                  </w:r>
                </w:p>
              </w:tc>
            </w:tr>
            <w:tr w:rsidR="000B0E14" w:rsidRPr="000B0E14" w:rsidTr="000B0E14">
              <w:trPr>
                <w:tblCellSpacing w:w="15" w:type="dxa"/>
                <w:jc w:val="center"/>
              </w:trPr>
              <w:tc>
                <w:tcPr>
                  <w:tcW w:w="0" w:type="auto"/>
                  <w:shd w:val="clear" w:color="auto" w:fill="D2E1E8"/>
                  <w:vAlign w:val="center"/>
                  <w:hideMark/>
                </w:tcPr>
                <w:p w:rsidR="000B0E14" w:rsidRPr="000B0E14" w:rsidRDefault="000B0E14" w:rsidP="000B0E14">
                  <w:pPr>
                    <w:spacing w:after="0" w:line="240" w:lineRule="auto"/>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6-Month</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0.000</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08/10/2011</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99.66 / .79</w:t>
                  </w:r>
                </w:p>
              </w:tc>
              <w:tc>
                <w:tcPr>
                  <w:tcW w:w="1967" w:type="dxa"/>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aps/>
                      <w:color w:val="FF3300"/>
                      <w:sz w:val="17"/>
                      <w:szCs w:val="17"/>
                    </w:rPr>
                    <w:t>0.005</w:t>
                  </w:r>
                  <w:r w:rsidRPr="000B0E14">
                    <w:rPr>
                      <w:rFonts w:ascii="Verdana" w:eastAsia="Times New Roman" w:hAnsi="Verdana" w:cs="Times New Roman"/>
                      <w:color w:val="000000"/>
                      <w:sz w:val="17"/>
                      <w:szCs w:val="17"/>
                    </w:rPr>
                    <w:t xml:space="preserve"> / </w:t>
                  </w:r>
                  <w:r w:rsidRPr="000B0E14">
                    <w:rPr>
                      <w:rFonts w:ascii="Verdana" w:eastAsia="Times New Roman" w:hAnsi="Verdana" w:cs="Times New Roman"/>
                      <w:caps/>
                      <w:color w:val="FF3300"/>
                      <w:sz w:val="17"/>
                      <w:szCs w:val="17"/>
                    </w:rPr>
                    <w:t>-.006</w:t>
                  </w:r>
                </w:p>
              </w:tc>
            </w:tr>
            <w:tr w:rsidR="000B0E14" w:rsidRPr="000B0E14" w:rsidTr="000B0E14">
              <w:trPr>
                <w:tblCellSpacing w:w="15" w:type="dxa"/>
                <w:jc w:val="center"/>
              </w:trPr>
              <w:tc>
                <w:tcPr>
                  <w:tcW w:w="0" w:type="auto"/>
                  <w:shd w:val="clear" w:color="auto" w:fill="FFFFFF"/>
                  <w:vAlign w:val="center"/>
                  <w:hideMark/>
                </w:tcPr>
                <w:p w:rsidR="000B0E14" w:rsidRPr="000B0E14" w:rsidRDefault="000B0E14" w:rsidP="000B0E14">
                  <w:pPr>
                    <w:spacing w:after="0" w:line="240" w:lineRule="auto"/>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1-Year</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1.250</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12/16/2011</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100.24 / .97</w:t>
                  </w:r>
                </w:p>
              </w:tc>
              <w:tc>
                <w:tcPr>
                  <w:tcW w:w="1967" w:type="dxa"/>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aps/>
                      <w:color w:val="FF3300"/>
                      <w:sz w:val="17"/>
                      <w:szCs w:val="17"/>
                    </w:rPr>
                    <w:t>-0.025</w:t>
                  </w:r>
                  <w:r w:rsidRPr="000B0E14">
                    <w:rPr>
                      <w:rFonts w:ascii="Verdana" w:eastAsia="Times New Roman" w:hAnsi="Verdana" w:cs="Times New Roman"/>
                      <w:color w:val="000000"/>
                      <w:sz w:val="17"/>
                      <w:szCs w:val="17"/>
                    </w:rPr>
                    <w:t xml:space="preserve"> / </w:t>
                  </w:r>
                  <w:r w:rsidRPr="000B0E14">
                    <w:rPr>
                      <w:rFonts w:ascii="Verdana" w:eastAsia="Times New Roman" w:hAnsi="Verdana" w:cs="Times New Roman"/>
                      <w:caps/>
                      <w:color w:val="006633"/>
                      <w:sz w:val="17"/>
                      <w:szCs w:val="17"/>
                    </w:rPr>
                    <w:t>.030</w:t>
                  </w:r>
                </w:p>
              </w:tc>
            </w:tr>
            <w:tr w:rsidR="000B0E14" w:rsidRPr="000B0E14" w:rsidTr="000B0E14">
              <w:trPr>
                <w:tblCellSpacing w:w="15" w:type="dxa"/>
                <w:jc w:val="center"/>
              </w:trPr>
              <w:tc>
                <w:tcPr>
                  <w:tcW w:w="0" w:type="auto"/>
                  <w:shd w:val="clear" w:color="auto" w:fill="D2E1E8"/>
                  <w:vAlign w:val="center"/>
                  <w:hideMark/>
                </w:tcPr>
                <w:p w:rsidR="000B0E14" w:rsidRPr="000B0E14" w:rsidRDefault="000B0E14" w:rsidP="000B0E14">
                  <w:pPr>
                    <w:spacing w:after="0" w:line="240" w:lineRule="auto"/>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2-Year</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1.000</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12/14/2012</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99.3 / 1.40</w:t>
                  </w:r>
                </w:p>
              </w:tc>
              <w:tc>
                <w:tcPr>
                  <w:tcW w:w="1967" w:type="dxa"/>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aps/>
                      <w:color w:val="FF3300"/>
                      <w:sz w:val="17"/>
                      <w:szCs w:val="17"/>
                    </w:rPr>
                    <w:t>-0.135</w:t>
                  </w:r>
                  <w:r w:rsidRPr="000B0E14">
                    <w:rPr>
                      <w:rFonts w:ascii="Verdana" w:eastAsia="Times New Roman" w:hAnsi="Verdana" w:cs="Times New Roman"/>
                      <w:color w:val="000000"/>
                      <w:sz w:val="17"/>
                      <w:szCs w:val="17"/>
                    </w:rPr>
                    <w:t xml:space="preserve"> / </w:t>
                  </w:r>
                  <w:r w:rsidRPr="000B0E14">
                    <w:rPr>
                      <w:rFonts w:ascii="Verdana" w:eastAsia="Times New Roman" w:hAnsi="Verdana" w:cs="Times New Roman"/>
                      <w:caps/>
                      <w:color w:val="006633"/>
                      <w:sz w:val="17"/>
                      <w:szCs w:val="17"/>
                    </w:rPr>
                    <w:t>.077</w:t>
                  </w:r>
                </w:p>
              </w:tc>
            </w:tr>
            <w:tr w:rsidR="000B0E14" w:rsidRPr="000B0E14" w:rsidTr="000B0E14">
              <w:trPr>
                <w:tblCellSpacing w:w="15" w:type="dxa"/>
                <w:jc w:val="center"/>
              </w:trPr>
              <w:tc>
                <w:tcPr>
                  <w:tcW w:w="0" w:type="auto"/>
                  <w:shd w:val="clear" w:color="auto" w:fill="FFFFFF"/>
                  <w:vAlign w:val="center"/>
                  <w:hideMark/>
                </w:tcPr>
                <w:p w:rsidR="000B0E14" w:rsidRPr="000B0E14" w:rsidRDefault="000B0E14" w:rsidP="000B0E14">
                  <w:pPr>
                    <w:spacing w:after="0" w:line="240" w:lineRule="auto"/>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3-Year</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2.250</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04/11/2014</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101.43 / 1.78</w:t>
                  </w:r>
                </w:p>
              </w:tc>
              <w:tc>
                <w:tcPr>
                  <w:tcW w:w="1967" w:type="dxa"/>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aps/>
                      <w:color w:val="FF3300"/>
                      <w:sz w:val="17"/>
                      <w:szCs w:val="17"/>
                    </w:rPr>
                    <w:t>-0.235</w:t>
                  </w:r>
                  <w:r w:rsidRPr="000B0E14">
                    <w:rPr>
                      <w:rFonts w:ascii="Verdana" w:eastAsia="Times New Roman" w:hAnsi="Verdana" w:cs="Times New Roman"/>
                      <w:color w:val="000000"/>
                      <w:sz w:val="17"/>
                      <w:szCs w:val="17"/>
                    </w:rPr>
                    <w:t xml:space="preserve"> / </w:t>
                  </w:r>
                  <w:r w:rsidRPr="000B0E14">
                    <w:rPr>
                      <w:rFonts w:ascii="Verdana" w:eastAsia="Times New Roman" w:hAnsi="Verdana" w:cs="Times New Roman"/>
                      <w:caps/>
                      <w:color w:val="006633"/>
                      <w:sz w:val="17"/>
                      <w:szCs w:val="17"/>
                    </w:rPr>
                    <w:t>.077</w:t>
                  </w:r>
                </w:p>
              </w:tc>
            </w:tr>
            <w:tr w:rsidR="000B0E14" w:rsidRPr="000B0E14" w:rsidTr="000B0E14">
              <w:trPr>
                <w:tblCellSpacing w:w="15" w:type="dxa"/>
                <w:jc w:val="center"/>
              </w:trPr>
              <w:tc>
                <w:tcPr>
                  <w:tcW w:w="0" w:type="auto"/>
                  <w:shd w:val="clear" w:color="auto" w:fill="D2E1E8"/>
                  <w:vAlign w:val="center"/>
                  <w:hideMark/>
                </w:tcPr>
                <w:p w:rsidR="000B0E14" w:rsidRPr="000B0E14" w:rsidRDefault="000B0E14" w:rsidP="000B0E14">
                  <w:pPr>
                    <w:spacing w:after="0" w:line="240" w:lineRule="auto"/>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4-Year</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2.500</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02/27/2015</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101.48 / 2.11</w:t>
                  </w:r>
                </w:p>
              </w:tc>
              <w:tc>
                <w:tcPr>
                  <w:tcW w:w="1967" w:type="dxa"/>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aps/>
                      <w:color w:val="FF3300"/>
                      <w:sz w:val="17"/>
                      <w:szCs w:val="17"/>
                    </w:rPr>
                    <w:t>-0.29</w:t>
                  </w:r>
                  <w:r w:rsidRPr="000B0E14">
                    <w:rPr>
                      <w:rFonts w:ascii="Verdana" w:eastAsia="Times New Roman" w:hAnsi="Verdana" w:cs="Times New Roman"/>
                      <w:color w:val="000000"/>
                      <w:sz w:val="17"/>
                      <w:szCs w:val="17"/>
                    </w:rPr>
                    <w:t xml:space="preserve"> / </w:t>
                  </w:r>
                  <w:r w:rsidRPr="000B0E14">
                    <w:rPr>
                      <w:rFonts w:ascii="Verdana" w:eastAsia="Times New Roman" w:hAnsi="Verdana" w:cs="Times New Roman"/>
                      <w:caps/>
                      <w:color w:val="006633"/>
                      <w:sz w:val="17"/>
                      <w:szCs w:val="17"/>
                    </w:rPr>
                    <w:t>.075</w:t>
                  </w:r>
                </w:p>
              </w:tc>
            </w:tr>
            <w:tr w:rsidR="000B0E14" w:rsidRPr="000B0E14" w:rsidTr="000B0E14">
              <w:trPr>
                <w:tblCellSpacing w:w="15" w:type="dxa"/>
                <w:jc w:val="center"/>
              </w:trPr>
              <w:tc>
                <w:tcPr>
                  <w:tcW w:w="0" w:type="auto"/>
                  <w:shd w:val="clear" w:color="auto" w:fill="FFFFFF"/>
                  <w:vAlign w:val="center"/>
                  <w:hideMark/>
                </w:tcPr>
                <w:p w:rsidR="000B0E14" w:rsidRPr="000B0E14" w:rsidRDefault="000B0E14" w:rsidP="000B0E14">
                  <w:pPr>
                    <w:spacing w:after="0" w:line="240" w:lineRule="auto"/>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5-Year</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2.000</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02/26/2016</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98.06 / 2.42</w:t>
                  </w:r>
                </w:p>
              </w:tc>
              <w:tc>
                <w:tcPr>
                  <w:tcW w:w="1967" w:type="dxa"/>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aps/>
                      <w:color w:val="FF3300"/>
                      <w:sz w:val="17"/>
                      <w:szCs w:val="17"/>
                    </w:rPr>
                    <w:t>-0.355</w:t>
                  </w:r>
                  <w:r w:rsidRPr="000B0E14">
                    <w:rPr>
                      <w:rFonts w:ascii="Verdana" w:eastAsia="Times New Roman" w:hAnsi="Verdana" w:cs="Times New Roman"/>
                      <w:color w:val="000000"/>
                      <w:sz w:val="17"/>
                      <w:szCs w:val="17"/>
                    </w:rPr>
                    <w:t xml:space="preserve"> / </w:t>
                  </w:r>
                  <w:r w:rsidRPr="000B0E14">
                    <w:rPr>
                      <w:rFonts w:ascii="Verdana" w:eastAsia="Times New Roman" w:hAnsi="Verdana" w:cs="Times New Roman"/>
                      <w:caps/>
                      <w:color w:val="006633"/>
                      <w:sz w:val="17"/>
                      <w:szCs w:val="17"/>
                    </w:rPr>
                    <w:t>.077</w:t>
                  </w:r>
                </w:p>
              </w:tc>
            </w:tr>
            <w:tr w:rsidR="000B0E14" w:rsidRPr="000B0E14" w:rsidTr="000B0E14">
              <w:trPr>
                <w:tblCellSpacing w:w="15" w:type="dxa"/>
                <w:jc w:val="center"/>
              </w:trPr>
              <w:tc>
                <w:tcPr>
                  <w:tcW w:w="0" w:type="auto"/>
                  <w:shd w:val="clear" w:color="auto" w:fill="D2E1E8"/>
                  <w:vAlign w:val="center"/>
                  <w:hideMark/>
                </w:tcPr>
                <w:p w:rsidR="000B0E14" w:rsidRPr="000B0E14" w:rsidRDefault="000B0E14" w:rsidP="000B0E14">
                  <w:pPr>
                    <w:spacing w:after="0" w:line="240" w:lineRule="auto"/>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6-Year</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3.750</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01/04/2017</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106.02 / 2.63</w:t>
                  </w:r>
                </w:p>
              </w:tc>
              <w:tc>
                <w:tcPr>
                  <w:tcW w:w="1967" w:type="dxa"/>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aps/>
                      <w:color w:val="FF3300"/>
                      <w:sz w:val="17"/>
                      <w:szCs w:val="17"/>
                    </w:rPr>
                    <w:t>-0.41</w:t>
                  </w:r>
                  <w:r w:rsidRPr="000B0E14">
                    <w:rPr>
                      <w:rFonts w:ascii="Verdana" w:eastAsia="Times New Roman" w:hAnsi="Verdana" w:cs="Times New Roman"/>
                      <w:color w:val="000000"/>
                      <w:sz w:val="17"/>
                      <w:szCs w:val="17"/>
                    </w:rPr>
                    <w:t xml:space="preserve"> / </w:t>
                  </w:r>
                  <w:r w:rsidRPr="000B0E14">
                    <w:rPr>
                      <w:rFonts w:ascii="Verdana" w:eastAsia="Times New Roman" w:hAnsi="Verdana" w:cs="Times New Roman"/>
                      <w:caps/>
                      <w:color w:val="006633"/>
                      <w:sz w:val="17"/>
                      <w:szCs w:val="17"/>
                    </w:rPr>
                    <w:t>.073</w:t>
                  </w:r>
                </w:p>
              </w:tc>
            </w:tr>
            <w:tr w:rsidR="000B0E14" w:rsidRPr="000B0E14" w:rsidTr="000B0E14">
              <w:trPr>
                <w:tblCellSpacing w:w="15" w:type="dxa"/>
                <w:jc w:val="center"/>
              </w:trPr>
              <w:tc>
                <w:tcPr>
                  <w:tcW w:w="0" w:type="auto"/>
                  <w:shd w:val="clear" w:color="auto" w:fill="FFFFFF"/>
                  <w:vAlign w:val="center"/>
                  <w:hideMark/>
                </w:tcPr>
                <w:p w:rsidR="000B0E14" w:rsidRPr="000B0E14" w:rsidRDefault="000B0E14" w:rsidP="000B0E14">
                  <w:pPr>
                    <w:spacing w:after="0" w:line="240" w:lineRule="auto"/>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7-Year</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4.000</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01/04/2018</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107.1 / 2.85</w:t>
                  </w:r>
                </w:p>
              </w:tc>
              <w:tc>
                <w:tcPr>
                  <w:tcW w:w="1967" w:type="dxa"/>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aps/>
                      <w:color w:val="FF3300"/>
                      <w:sz w:val="17"/>
                      <w:szCs w:val="17"/>
                    </w:rPr>
                    <w:t>-0.465</w:t>
                  </w:r>
                  <w:r w:rsidRPr="000B0E14">
                    <w:rPr>
                      <w:rFonts w:ascii="Verdana" w:eastAsia="Times New Roman" w:hAnsi="Verdana" w:cs="Times New Roman"/>
                      <w:color w:val="000000"/>
                      <w:sz w:val="17"/>
                      <w:szCs w:val="17"/>
                    </w:rPr>
                    <w:t xml:space="preserve"> / </w:t>
                  </w:r>
                  <w:r w:rsidRPr="000B0E14">
                    <w:rPr>
                      <w:rFonts w:ascii="Verdana" w:eastAsia="Times New Roman" w:hAnsi="Verdana" w:cs="Times New Roman"/>
                      <w:caps/>
                      <w:color w:val="006633"/>
                      <w:sz w:val="17"/>
                      <w:szCs w:val="17"/>
                    </w:rPr>
                    <w:t>.072</w:t>
                  </w:r>
                </w:p>
              </w:tc>
            </w:tr>
            <w:tr w:rsidR="000B0E14" w:rsidRPr="000B0E14" w:rsidTr="000B0E14">
              <w:trPr>
                <w:tblCellSpacing w:w="15" w:type="dxa"/>
                <w:jc w:val="center"/>
              </w:trPr>
              <w:tc>
                <w:tcPr>
                  <w:tcW w:w="0" w:type="auto"/>
                  <w:shd w:val="clear" w:color="auto" w:fill="D2E1E8"/>
                  <w:vAlign w:val="center"/>
                  <w:hideMark/>
                </w:tcPr>
                <w:p w:rsidR="000B0E14" w:rsidRPr="000B0E14" w:rsidRDefault="000B0E14" w:rsidP="000B0E14">
                  <w:pPr>
                    <w:spacing w:after="0" w:line="240" w:lineRule="auto"/>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8-Year</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3.750</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01/04/2019</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104.92 / 3.04</w:t>
                  </w:r>
                </w:p>
              </w:tc>
              <w:tc>
                <w:tcPr>
                  <w:tcW w:w="1967" w:type="dxa"/>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aps/>
                      <w:color w:val="FF3300"/>
                      <w:sz w:val="17"/>
                      <w:szCs w:val="17"/>
                    </w:rPr>
                    <w:t>-0.51</w:t>
                  </w:r>
                  <w:r w:rsidRPr="000B0E14">
                    <w:rPr>
                      <w:rFonts w:ascii="Verdana" w:eastAsia="Times New Roman" w:hAnsi="Verdana" w:cs="Times New Roman"/>
                      <w:color w:val="000000"/>
                      <w:sz w:val="17"/>
                      <w:szCs w:val="17"/>
                    </w:rPr>
                    <w:t xml:space="preserve"> / </w:t>
                  </w:r>
                  <w:r w:rsidRPr="000B0E14">
                    <w:rPr>
                      <w:rFonts w:ascii="Verdana" w:eastAsia="Times New Roman" w:hAnsi="Verdana" w:cs="Times New Roman"/>
                      <w:caps/>
                      <w:color w:val="006633"/>
                      <w:sz w:val="17"/>
                      <w:szCs w:val="17"/>
                    </w:rPr>
                    <w:t>.071</w:t>
                  </w:r>
                </w:p>
              </w:tc>
            </w:tr>
            <w:tr w:rsidR="000B0E14" w:rsidRPr="000B0E14" w:rsidTr="000B0E14">
              <w:trPr>
                <w:tblCellSpacing w:w="15" w:type="dxa"/>
                <w:jc w:val="center"/>
              </w:trPr>
              <w:tc>
                <w:tcPr>
                  <w:tcW w:w="0" w:type="auto"/>
                  <w:shd w:val="clear" w:color="auto" w:fill="FFFFFF"/>
                  <w:vAlign w:val="center"/>
                  <w:hideMark/>
                </w:tcPr>
                <w:p w:rsidR="000B0E14" w:rsidRPr="000B0E14" w:rsidRDefault="000B0E14" w:rsidP="000B0E14">
                  <w:pPr>
                    <w:spacing w:after="0" w:line="240" w:lineRule="auto"/>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9-Year</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3.250</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01/04/2020</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100.54 / 3.18</w:t>
                  </w:r>
                </w:p>
              </w:tc>
              <w:tc>
                <w:tcPr>
                  <w:tcW w:w="1967" w:type="dxa"/>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aps/>
                      <w:color w:val="FF3300"/>
                      <w:sz w:val="17"/>
                      <w:szCs w:val="17"/>
                    </w:rPr>
                    <w:t>-0.52</w:t>
                  </w:r>
                  <w:r w:rsidRPr="000B0E14">
                    <w:rPr>
                      <w:rFonts w:ascii="Verdana" w:eastAsia="Times New Roman" w:hAnsi="Verdana" w:cs="Times New Roman"/>
                      <w:color w:val="000000"/>
                      <w:sz w:val="17"/>
                      <w:szCs w:val="17"/>
                    </w:rPr>
                    <w:t xml:space="preserve"> / </w:t>
                  </w:r>
                  <w:r w:rsidRPr="000B0E14">
                    <w:rPr>
                      <w:rFonts w:ascii="Verdana" w:eastAsia="Times New Roman" w:hAnsi="Verdana" w:cs="Times New Roman"/>
                      <w:caps/>
                      <w:color w:val="006633"/>
                      <w:sz w:val="17"/>
                      <w:szCs w:val="17"/>
                    </w:rPr>
                    <w:t>.068</w:t>
                  </w:r>
                </w:p>
              </w:tc>
            </w:tr>
            <w:tr w:rsidR="000B0E14" w:rsidRPr="000B0E14" w:rsidTr="000B0E14">
              <w:trPr>
                <w:tblCellSpacing w:w="15" w:type="dxa"/>
                <w:jc w:val="center"/>
              </w:trPr>
              <w:tc>
                <w:tcPr>
                  <w:tcW w:w="0" w:type="auto"/>
                  <w:shd w:val="clear" w:color="auto" w:fill="D2E1E8"/>
                  <w:vAlign w:val="center"/>
                  <w:hideMark/>
                </w:tcPr>
                <w:p w:rsidR="000B0E14" w:rsidRPr="000B0E14" w:rsidRDefault="000B0E14" w:rsidP="000B0E14">
                  <w:pPr>
                    <w:spacing w:after="0" w:line="240" w:lineRule="auto"/>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10-Year</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2.500</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01/04/2021</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93.73 / 3.25</w:t>
                  </w:r>
                </w:p>
              </w:tc>
              <w:tc>
                <w:tcPr>
                  <w:tcW w:w="1967" w:type="dxa"/>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aps/>
                      <w:color w:val="FF3300"/>
                      <w:sz w:val="17"/>
                      <w:szCs w:val="17"/>
                    </w:rPr>
                    <w:t>-0.57</w:t>
                  </w:r>
                  <w:r w:rsidRPr="000B0E14">
                    <w:rPr>
                      <w:rFonts w:ascii="Verdana" w:eastAsia="Times New Roman" w:hAnsi="Verdana" w:cs="Times New Roman"/>
                      <w:color w:val="000000"/>
                      <w:sz w:val="17"/>
                      <w:szCs w:val="17"/>
                    </w:rPr>
                    <w:t xml:space="preserve"> / </w:t>
                  </w:r>
                  <w:r w:rsidRPr="000B0E14">
                    <w:rPr>
                      <w:rFonts w:ascii="Verdana" w:eastAsia="Times New Roman" w:hAnsi="Verdana" w:cs="Times New Roman"/>
                      <w:caps/>
                      <w:color w:val="006633"/>
                      <w:sz w:val="17"/>
                      <w:szCs w:val="17"/>
                    </w:rPr>
                    <w:t>.071</w:t>
                  </w:r>
                </w:p>
              </w:tc>
            </w:tr>
            <w:tr w:rsidR="000B0E14" w:rsidRPr="000B0E14" w:rsidTr="000B0E14">
              <w:trPr>
                <w:tblCellSpacing w:w="15" w:type="dxa"/>
                <w:jc w:val="center"/>
              </w:trPr>
              <w:tc>
                <w:tcPr>
                  <w:tcW w:w="0" w:type="auto"/>
                  <w:shd w:val="clear" w:color="auto" w:fill="FFFFFF"/>
                  <w:vAlign w:val="center"/>
                  <w:hideMark/>
                </w:tcPr>
                <w:p w:rsidR="000B0E14" w:rsidRPr="000B0E14" w:rsidRDefault="000B0E14" w:rsidP="000B0E14">
                  <w:pPr>
                    <w:spacing w:after="0" w:line="240" w:lineRule="auto"/>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15-Year</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6.250</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01/04/2024</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128.2 / 3.50</w:t>
                  </w:r>
                </w:p>
              </w:tc>
              <w:tc>
                <w:tcPr>
                  <w:tcW w:w="1967" w:type="dxa"/>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aps/>
                      <w:color w:val="FF3300"/>
                      <w:sz w:val="17"/>
                      <w:szCs w:val="17"/>
                    </w:rPr>
                    <w:t>-0.745</w:t>
                  </w:r>
                  <w:r w:rsidRPr="000B0E14">
                    <w:rPr>
                      <w:rFonts w:ascii="Verdana" w:eastAsia="Times New Roman" w:hAnsi="Verdana" w:cs="Times New Roman"/>
                      <w:color w:val="000000"/>
                      <w:sz w:val="17"/>
                      <w:szCs w:val="17"/>
                    </w:rPr>
                    <w:t xml:space="preserve"> / </w:t>
                  </w:r>
                  <w:r w:rsidRPr="000B0E14">
                    <w:rPr>
                      <w:rFonts w:ascii="Verdana" w:eastAsia="Times New Roman" w:hAnsi="Verdana" w:cs="Times New Roman"/>
                      <w:caps/>
                      <w:color w:val="006633"/>
                      <w:sz w:val="17"/>
                      <w:szCs w:val="17"/>
                    </w:rPr>
                    <w:t>.062</w:t>
                  </w:r>
                </w:p>
              </w:tc>
            </w:tr>
            <w:tr w:rsidR="000B0E14" w:rsidRPr="000B0E14" w:rsidTr="000B0E14">
              <w:trPr>
                <w:tblCellSpacing w:w="15" w:type="dxa"/>
                <w:jc w:val="center"/>
              </w:trPr>
              <w:tc>
                <w:tcPr>
                  <w:tcW w:w="0" w:type="auto"/>
                  <w:shd w:val="clear" w:color="auto" w:fill="D2E1E8"/>
                  <w:vAlign w:val="center"/>
                  <w:hideMark/>
                </w:tcPr>
                <w:p w:rsidR="000B0E14" w:rsidRPr="000B0E14" w:rsidRDefault="000B0E14" w:rsidP="000B0E14">
                  <w:pPr>
                    <w:spacing w:after="0" w:line="240" w:lineRule="auto"/>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20-Year</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4.750</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07/04/2028</w:t>
                  </w:r>
                </w:p>
              </w:tc>
              <w:tc>
                <w:tcPr>
                  <w:tcW w:w="0" w:type="auto"/>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112.44 / 3.77</w:t>
                  </w:r>
                </w:p>
              </w:tc>
              <w:tc>
                <w:tcPr>
                  <w:tcW w:w="1967" w:type="dxa"/>
                  <w:shd w:val="clear" w:color="auto" w:fill="D2E1E8"/>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aps/>
                      <w:color w:val="FF3300"/>
                      <w:sz w:val="17"/>
                      <w:szCs w:val="17"/>
                    </w:rPr>
                    <w:t>-0.77</w:t>
                  </w:r>
                  <w:r w:rsidRPr="000B0E14">
                    <w:rPr>
                      <w:rFonts w:ascii="Verdana" w:eastAsia="Times New Roman" w:hAnsi="Verdana" w:cs="Times New Roman"/>
                      <w:color w:val="000000"/>
                      <w:sz w:val="17"/>
                      <w:szCs w:val="17"/>
                    </w:rPr>
                    <w:t xml:space="preserve"> / </w:t>
                  </w:r>
                  <w:r w:rsidRPr="000B0E14">
                    <w:rPr>
                      <w:rFonts w:ascii="Verdana" w:eastAsia="Times New Roman" w:hAnsi="Verdana" w:cs="Times New Roman"/>
                      <w:caps/>
                      <w:color w:val="006633"/>
                      <w:sz w:val="17"/>
                      <w:szCs w:val="17"/>
                    </w:rPr>
                    <w:t>.056</w:t>
                  </w:r>
                </w:p>
              </w:tc>
            </w:tr>
            <w:tr w:rsidR="000B0E14" w:rsidRPr="000B0E14" w:rsidTr="000B0E14">
              <w:trPr>
                <w:tblCellSpacing w:w="15" w:type="dxa"/>
                <w:jc w:val="center"/>
              </w:trPr>
              <w:tc>
                <w:tcPr>
                  <w:tcW w:w="0" w:type="auto"/>
                  <w:shd w:val="clear" w:color="auto" w:fill="FFFFFF"/>
                  <w:vAlign w:val="center"/>
                  <w:hideMark/>
                </w:tcPr>
                <w:p w:rsidR="000B0E14" w:rsidRPr="000B0E14" w:rsidRDefault="000B0E14" w:rsidP="000B0E14">
                  <w:pPr>
                    <w:spacing w:after="0" w:line="240" w:lineRule="auto"/>
                    <w:rPr>
                      <w:rFonts w:ascii="Verdana" w:eastAsia="Times New Roman" w:hAnsi="Verdana" w:cs="Times New Roman"/>
                      <w:color w:val="FFFFFF"/>
                    </w:rPr>
                  </w:pPr>
                  <w:r w:rsidRPr="000B0E14">
                    <w:rPr>
                      <w:rFonts w:ascii="Verdana" w:eastAsia="Times New Roman" w:hAnsi="Verdana" w:cs="Times New Roman"/>
                      <w:b/>
                      <w:bCs/>
                      <w:caps/>
                      <w:color w:val="000000"/>
                      <w:sz w:val="17"/>
                      <w:szCs w:val="17"/>
                    </w:rPr>
                    <w:t>30-Year</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3.250</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07/04/2042</w:t>
                  </w:r>
                </w:p>
              </w:tc>
              <w:tc>
                <w:tcPr>
                  <w:tcW w:w="0" w:type="auto"/>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olor w:val="000000"/>
                      <w:sz w:val="17"/>
                      <w:szCs w:val="17"/>
                    </w:rPr>
                    <w:t>91.85 / 3.70</w:t>
                  </w:r>
                </w:p>
              </w:tc>
              <w:tc>
                <w:tcPr>
                  <w:tcW w:w="1967" w:type="dxa"/>
                  <w:shd w:val="clear" w:color="auto" w:fill="FFFFFF"/>
                  <w:vAlign w:val="center"/>
                  <w:hideMark/>
                </w:tcPr>
                <w:p w:rsidR="000B0E14" w:rsidRPr="000B0E14" w:rsidRDefault="000B0E14" w:rsidP="000B0E14">
                  <w:pPr>
                    <w:spacing w:after="0" w:line="240" w:lineRule="auto"/>
                    <w:jc w:val="right"/>
                    <w:rPr>
                      <w:rFonts w:ascii="Verdana" w:eastAsia="Times New Roman" w:hAnsi="Verdana" w:cs="Times New Roman"/>
                      <w:color w:val="FFFFFF"/>
                    </w:rPr>
                  </w:pPr>
                  <w:r w:rsidRPr="000B0E14">
                    <w:rPr>
                      <w:rFonts w:ascii="Verdana" w:eastAsia="Times New Roman" w:hAnsi="Verdana" w:cs="Times New Roman"/>
                      <w:caps/>
                      <w:color w:val="FF3300"/>
                      <w:sz w:val="17"/>
                      <w:szCs w:val="17"/>
                    </w:rPr>
                    <w:t>-0.94</w:t>
                  </w:r>
                  <w:r w:rsidRPr="000B0E14">
                    <w:rPr>
                      <w:rFonts w:ascii="Verdana" w:eastAsia="Times New Roman" w:hAnsi="Verdana" w:cs="Times New Roman"/>
                      <w:color w:val="000000"/>
                      <w:sz w:val="17"/>
                      <w:szCs w:val="17"/>
                    </w:rPr>
                    <w:t xml:space="preserve"> / </w:t>
                  </w:r>
                  <w:r w:rsidRPr="000B0E14">
                    <w:rPr>
                      <w:rFonts w:ascii="Verdana" w:eastAsia="Times New Roman" w:hAnsi="Verdana" w:cs="Times New Roman"/>
                      <w:caps/>
                      <w:color w:val="006633"/>
                      <w:sz w:val="17"/>
                      <w:szCs w:val="17"/>
                    </w:rPr>
                    <w:t>.054</w:t>
                  </w:r>
                </w:p>
              </w:tc>
            </w:tr>
          </w:tbl>
          <w:p w:rsidR="000B0E14" w:rsidRPr="000B0E14" w:rsidRDefault="000B0E14" w:rsidP="000B0E14">
            <w:pPr>
              <w:spacing w:after="0" w:line="240" w:lineRule="auto"/>
              <w:jc w:val="center"/>
              <w:rPr>
                <w:rFonts w:ascii="Verdana" w:eastAsia="Times New Roman" w:hAnsi="Verdana" w:cs="Times New Roman"/>
                <w:color w:val="FFFFFF"/>
              </w:rPr>
            </w:pPr>
          </w:p>
        </w:tc>
      </w:tr>
    </w:tbl>
    <w:p w:rsidR="000B0E14" w:rsidRPr="000B0E14" w:rsidRDefault="000B0E14">
      <w:pPr>
        <w:rPr>
          <w:b/>
          <w:sz w:val="28"/>
          <w:szCs w:val="28"/>
        </w:rPr>
      </w:pPr>
      <w:r w:rsidRPr="000B0E14">
        <w:rPr>
          <w:rFonts w:ascii="Verdana" w:eastAsia="Times New Roman" w:hAnsi="Verdana" w:cs="Times New Roman"/>
          <w:noProof/>
          <w:color w:val="FFFFFF"/>
        </w:rPr>
        <w:drawing>
          <wp:inline distT="0" distB="0" distL="0" distR="0" wp14:anchorId="1AE95687" wp14:editId="04A932F7">
            <wp:extent cx="4495800" cy="200025"/>
            <wp:effectExtent l="0" t="0" r="0" b="9525"/>
            <wp:docPr id="5" name="Picture 5" descr="http://cdn.images.bloomberg.com/r06/markets/cur_pr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images.bloomberg.com/r06/markets/cur_prev.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5800" cy="200025"/>
                    </a:xfrm>
                    <a:prstGeom prst="rect">
                      <a:avLst/>
                    </a:prstGeom>
                    <a:noFill/>
                    <a:ln>
                      <a:noFill/>
                    </a:ln>
                  </pic:spPr>
                </pic:pic>
              </a:graphicData>
            </a:graphic>
          </wp:inline>
        </w:drawing>
      </w:r>
    </w:p>
    <w:p w:rsidR="000B0E14" w:rsidRPr="000B0E14" w:rsidRDefault="000B0E14">
      <w:pPr>
        <w:rPr>
          <w:b/>
          <w:sz w:val="28"/>
          <w:szCs w:val="28"/>
        </w:rPr>
      </w:pPr>
      <w:r>
        <w:rPr>
          <w:b/>
          <w:noProof/>
          <w:sz w:val="28"/>
          <w:szCs w:val="28"/>
        </w:rPr>
        <w:drawing>
          <wp:inline distT="0" distB="0" distL="0" distR="0">
            <wp:extent cx="4667250" cy="2705100"/>
            <wp:effectExtent l="0" t="0" r="0" b="0"/>
            <wp:docPr id="1" name="Picture 1" descr="C:\Users\Public\Pictures\German Yield Curve Feb 18 2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German Yield Curve Feb 18 20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0" cy="2705100"/>
                    </a:xfrm>
                    <a:prstGeom prst="rect">
                      <a:avLst/>
                    </a:prstGeom>
                    <a:noFill/>
                    <a:ln>
                      <a:noFill/>
                    </a:ln>
                  </pic:spPr>
                </pic:pic>
              </a:graphicData>
            </a:graphic>
          </wp:inline>
        </w:drawing>
      </w:r>
    </w:p>
    <w:sectPr w:rsidR="000B0E14" w:rsidRPr="000B0E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E14" w:rsidRDefault="000B0E14" w:rsidP="000B0E14">
      <w:pPr>
        <w:spacing w:after="0" w:line="240" w:lineRule="auto"/>
      </w:pPr>
      <w:r>
        <w:separator/>
      </w:r>
    </w:p>
  </w:endnote>
  <w:endnote w:type="continuationSeparator" w:id="0">
    <w:p w:rsidR="000B0E14" w:rsidRDefault="000B0E14" w:rsidP="000B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747171"/>
      <w:docPartObj>
        <w:docPartGallery w:val="Page Numbers (Bottom of Page)"/>
        <w:docPartUnique/>
      </w:docPartObj>
    </w:sdtPr>
    <w:sdtEndPr/>
    <w:sdtContent>
      <w:p w:rsidR="000B0E14" w:rsidRDefault="000B0E14">
        <w:pPr>
          <w:pStyle w:val="Footer"/>
          <w:jc w:val="right"/>
        </w:pPr>
        <w:r>
          <w:t xml:space="preserve">Page | </w:t>
        </w:r>
        <w:r>
          <w:fldChar w:fldCharType="begin"/>
        </w:r>
        <w:r>
          <w:instrText xml:space="preserve"> PAGE   \* MERGEFORMAT </w:instrText>
        </w:r>
        <w:r>
          <w:fldChar w:fldCharType="separate"/>
        </w:r>
        <w:r w:rsidR="00B003F5">
          <w:rPr>
            <w:noProof/>
          </w:rPr>
          <w:t>1</w:t>
        </w:r>
        <w:r>
          <w:rPr>
            <w:noProof/>
          </w:rPr>
          <w:fldChar w:fldCharType="end"/>
        </w:r>
        <w:r>
          <w:t xml:space="preserve"> </w:t>
        </w:r>
      </w:p>
    </w:sdtContent>
  </w:sdt>
  <w:p w:rsidR="000B0E14" w:rsidRDefault="000B0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E14" w:rsidRDefault="000B0E14" w:rsidP="000B0E14">
      <w:pPr>
        <w:spacing w:after="0" w:line="240" w:lineRule="auto"/>
      </w:pPr>
      <w:r>
        <w:separator/>
      </w:r>
    </w:p>
  </w:footnote>
  <w:footnote w:type="continuationSeparator" w:id="0">
    <w:p w:rsidR="000B0E14" w:rsidRDefault="000B0E14" w:rsidP="000B0E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AD"/>
    <w:rsid w:val="000B0E14"/>
    <w:rsid w:val="002A0A3B"/>
    <w:rsid w:val="00323B5B"/>
    <w:rsid w:val="003B0882"/>
    <w:rsid w:val="00537CAD"/>
    <w:rsid w:val="005D3DF2"/>
    <w:rsid w:val="00B003F5"/>
    <w:rsid w:val="00E4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CAD"/>
    <w:rPr>
      <w:color w:val="0000FF" w:themeColor="hyperlink"/>
      <w:u w:val="single"/>
    </w:rPr>
  </w:style>
  <w:style w:type="paragraph" w:styleId="BalloonText">
    <w:name w:val="Balloon Text"/>
    <w:basedOn w:val="Normal"/>
    <w:link w:val="BalloonTextChar"/>
    <w:uiPriority w:val="99"/>
    <w:semiHidden/>
    <w:unhideWhenUsed/>
    <w:rsid w:val="00537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CAD"/>
    <w:rPr>
      <w:rFonts w:ascii="Tahoma" w:hAnsi="Tahoma" w:cs="Tahoma"/>
      <w:sz w:val="16"/>
      <w:szCs w:val="16"/>
    </w:rPr>
  </w:style>
  <w:style w:type="paragraph" w:styleId="Header">
    <w:name w:val="header"/>
    <w:basedOn w:val="Normal"/>
    <w:link w:val="HeaderChar"/>
    <w:uiPriority w:val="99"/>
    <w:unhideWhenUsed/>
    <w:rsid w:val="000B0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E14"/>
  </w:style>
  <w:style w:type="paragraph" w:styleId="Footer">
    <w:name w:val="footer"/>
    <w:basedOn w:val="Normal"/>
    <w:link w:val="FooterChar"/>
    <w:uiPriority w:val="99"/>
    <w:unhideWhenUsed/>
    <w:rsid w:val="000B0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CAD"/>
    <w:rPr>
      <w:color w:val="0000FF" w:themeColor="hyperlink"/>
      <w:u w:val="single"/>
    </w:rPr>
  </w:style>
  <w:style w:type="paragraph" w:styleId="BalloonText">
    <w:name w:val="Balloon Text"/>
    <w:basedOn w:val="Normal"/>
    <w:link w:val="BalloonTextChar"/>
    <w:uiPriority w:val="99"/>
    <w:semiHidden/>
    <w:unhideWhenUsed/>
    <w:rsid w:val="00537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CAD"/>
    <w:rPr>
      <w:rFonts w:ascii="Tahoma" w:hAnsi="Tahoma" w:cs="Tahoma"/>
      <w:sz w:val="16"/>
      <w:szCs w:val="16"/>
    </w:rPr>
  </w:style>
  <w:style w:type="paragraph" w:styleId="Header">
    <w:name w:val="header"/>
    <w:basedOn w:val="Normal"/>
    <w:link w:val="HeaderChar"/>
    <w:uiPriority w:val="99"/>
    <w:unhideWhenUsed/>
    <w:rsid w:val="000B0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E14"/>
  </w:style>
  <w:style w:type="paragraph" w:styleId="Footer">
    <w:name w:val="footer"/>
    <w:basedOn w:val="Normal"/>
    <w:link w:val="FooterChar"/>
    <w:uiPriority w:val="99"/>
    <w:unhideWhenUsed/>
    <w:rsid w:val="000B0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40683">
      <w:bodyDiv w:val="1"/>
      <w:marLeft w:val="0"/>
      <w:marRight w:val="0"/>
      <w:marTop w:val="0"/>
      <w:marBottom w:val="0"/>
      <w:divBdr>
        <w:top w:val="none" w:sz="0" w:space="0" w:color="auto"/>
        <w:left w:val="none" w:sz="0" w:space="0" w:color="auto"/>
        <w:bottom w:val="none" w:sz="0" w:space="0" w:color="auto"/>
        <w:right w:val="none" w:sz="0" w:space="0" w:color="auto"/>
      </w:divBdr>
      <w:divsChild>
        <w:div w:id="1232615707">
          <w:marLeft w:val="0"/>
          <w:marRight w:val="0"/>
          <w:marTop w:val="0"/>
          <w:marBottom w:val="0"/>
          <w:divBdr>
            <w:top w:val="none" w:sz="0" w:space="0" w:color="auto"/>
            <w:left w:val="none" w:sz="0" w:space="0" w:color="auto"/>
            <w:bottom w:val="none" w:sz="0" w:space="0" w:color="auto"/>
            <w:right w:val="none" w:sz="0" w:space="0" w:color="auto"/>
          </w:divBdr>
          <w:divsChild>
            <w:div w:id="1706641862">
              <w:marLeft w:val="2700"/>
              <w:marRight w:val="2250"/>
              <w:marTop w:val="600"/>
              <w:marBottom w:val="0"/>
              <w:divBdr>
                <w:top w:val="none" w:sz="0" w:space="0" w:color="auto"/>
                <w:left w:val="none" w:sz="0" w:space="0" w:color="auto"/>
                <w:bottom w:val="none" w:sz="0" w:space="0" w:color="auto"/>
                <w:right w:val="none" w:sz="0" w:space="0" w:color="auto"/>
              </w:divBdr>
              <w:divsChild>
                <w:div w:id="1562253500">
                  <w:marLeft w:val="0"/>
                  <w:marRight w:val="0"/>
                  <w:marTop w:val="0"/>
                  <w:marBottom w:val="225"/>
                  <w:divBdr>
                    <w:top w:val="none" w:sz="0" w:space="0" w:color="auto"/>
                    <w:left w:val="none" w:sz="0" w:space="0" w:color="auto"/>
                    <w:bottom w:val="none" w:sz="0" w:space="0" w:color="auto"/>
                    <w:right w:val="none" w:sz="0" w:space="0" w:color="auto"/>
                  </w:divBdr>
                  <w:divsChild>
                    <w:div w:id="1211267019">
                      <w:marLeft w:val="0"/>
                      <w:marRight w:val="0"/>
                      <w:marTop w:val="0"/>
                      <w:marBottom w:val="240"/>
                      <w:divBdr>
                        <w:top w:val="none" w:sz="0" w:space="0" w:color="auto"/>
                        <w:left w:val="none" w:sz="0" w:space="0" w:color="auto"/>
                        <w:bottom w:val="none" w:sz="0" w:space="0" w:color="auto"/>
                        <w:right w:val="none" w:sz="0" w:space="0" w:color="auto"/>
                      </w:divBdr>
                      <w:divsChild>
                        <w:div w:id="1614242291">
                          <w:marLeft w:val="0"/>
                          <w:marRight w:val="0"/>
                          <w:marTop w:val="0"/>
                          <w:marBottom w:val="240"/>
                          <w:divBdr>
                            <w:top w:val="none" w:sz="0" w:space="0" w:color="auto"/>
                            <w:left w:val="none" w:sz="0" w:space="0" w:color="auto"/>
                            <w:bottom w:val="none" w:sz="0" w:space="0" w:color="auto"/>
                            <w:right w:val="none" w:sz="0" w:space="0" w:color="auto"/>
                          </w:divBdr>
                          <w:divsChild>
                            <w:div w:id="1468934429">
                              <w:marLeft w:val="30"/>
                              <w:marRight w:val="30"/>
                              <w:marTop w:val="30"/>
                              <w:marBottom w:val="30"/>
                              <w:divBdr>
                                <w:top w:val="none" w:sz="0" w:space="0" w:color="auto"/>
                                <w:left w:val="none" w:sz="0" w:space="0" w:color="auto"/>
                                <w:bottom w:val="none" w:sz="0" w:space="0" w:color="auto"/>
                                <w:right w:val="none" w:sz="0" w:space="0" w:color="auto"/>
                              </w:divBdr>
                              <w:divsChild>
                                <w:div w:id="1924491944">
                                  <w:marLeft w:val="0"/>
                                  <w:marRight w:val="0"/>
                                  <w:marTop w:val="0"/>
                                  <w:marBottom w:val="0"/>
                                  <w:divBdr>
                                    <w:top w:val="none" w:sz="0" w:space="0" w:color="auto"/>
                                    <w:left w:val="none" w:sz="0" w:space="0" w:color="auto"/>
                                    <w:bottom w:val="none" w:sz="0" w:space="0" w:color="auto"/>
                                    <w:right w:val="none" w:sz="0" w:space="0" w:color="auto"/>
                                  </w:divBdr>
                                  <w:divsChild>
                                    <w:div w:id="1389497698">
                                      <w:marLeft w:val="450"/>
                                      <w:marRight w:val="0"/>
                                      <w:marTop w:val="0"/>
                                      <w:marBottom w:val="0"/>
                                      <w:divBdr>
                                        <w:top w:val="none" w:sz="0" w:space="0" w:color="auto"/>
                                        <w:left w:val="none" w:sz="0" w:space="0" w:color="auto"/>
                                        <w:bottom w:val="none" w:sz="0" w:space="0" w:color="auto"/>
                                        <w:right w:val="none" w:sz="0" w:space="0" w:color="auto"/>
                                      </w:divBdr>
                                    </w:div>
                                    <w:div w:id="1924796191">
                                      <w:marLeft w:val="450"/>
                                      <w:marRight w:val="0"/>
                                      <w:marTop w:val="0"/>
                                      <w:marBottom w:val="0"/>
                                      <w:divBdr>
                                        <w:top w:val="none" w:sz="0" w:space="0" w:color="auto"/>
                                        <w:left w:val="none" w:sz="0" w:space="0" w:color="auto"/>
                                        <w:bottom w:val="none" w:sz="0" w:space="0" w:color="auto"/>
                                        <w:right w:val="none" w:sz="0" w:space="0" w:color="auto"/>
                                      </w:divBdr>
                                    </w:div>
                                    <w:div w:id="740830421">
                                      <w:marLeft w:val="0"/>
                                      <w:marRight w:val="0"/>
                                      <w:marTop w:val="0"/>
                                      <w:marBottom w:val="24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 w:id="1712878264">
      <w:bodyDiv w:val="1"/>
      <w:marLeft w:val="0"/>
      <w:marRight w:val="0"/>
      <w:marTop w:val="0"/>
      <w:marBottom w:val="0"/>
      <w:divBdr>
        <w:top w:val="none" w:sz="0" w:space="0" w:color="auto"/>
        <w:left w:val="none" w:sz="0" w:space="0" w:color="auto"/>
        <w:bottom w:val="none" w:sz="0" w:space="0" w:color="auto"/>
        <w:right w:val="none" w:sz="0" w:space="0" w:color="auto"/>
      </w:divBdr>
      <w:divsChild>
        <w:div w:id="1364406038">
          <w:marLeft w:val="0"/>
          <w:marRight w:val="0"/>
          <w:marTop w:val="0"/>
          <w:marBottom w:val="0"/>
          <w:divBdr>
            <w:top w:val="none" w:sz="0" w:space="0" w:color="auto"/>
            <w:left w:val="none" w:sz="0" w:space="0" w:color="auto"/>
            <w:bottom w:val="none" w:sz="0" w:space="0" w:color="auto"/>
            <w:right w:val="none" w:sz="0" w:space="0" w:color="auto"/>
          </w:divBdr>
          <w:divsChild>
            <w:div w:id="1608809781">
              <w:marLeft w:val="0"/>
              <w:marRight w:val="0"/>
              <w:marTop w:val="0"/>
              <w:marBottom w:val="0"/>
              <w:divBdr>
                <w:top w:val="none" w:sz="0" w:space="0" w:color="auto"/>
                <w:left w:val="none" w:sz="0" w:space="0" w:color="auto"/>
                <w:bottom w:val="none" w:sz="0" w:space="0" w:color="auto"/>
                <w:right w:val="none" w:sz="0" w:space="0" w:color="auto"/>
              </w:divBdr>
              <w:divsChild>
                <w:div w:id="1804735558">
                  <w:marLeft w:val="0"/>
                  <w:marRight w:val="0"/>
                  <w:marTop w:val="150"/>
                  <w:marBottom w:val="0"/>
                  <w:divBdr>
                    <w:top w:val="none" w:sz="0" w:space="0" w:color="auto"/>
                    <w:left w:val="none" w:sz="0" w:space="0" w:color="auto"/>
                    <w:bottom w:val="none" w:sz="0" w:space="0" w:color="auto"/>
                    <w:right w:val="none" w:sz="0" w:space="0" w:color="auto"/>
                  </w:divBdr>
                  <w:divsChild>
                    <w:div w:id="1044061839">
                      <w:marLeft w:val="0"/>
                      <w:marRight w:val="0"/>
                      <w:marTop w:val="0"/>
                      <w:marBottom w:val="0"/>
                      <w:divBdr>
                        <w:top w:val="none" w:sz="0" w:space="0" w:color="auto"/>
                        <w:left w:val="none" w:sz="0" w:space="0" w:color="auto"/>
                        <w:bottom w:val="none" w:sz="0" w:space="0" w:color="auto"/>
                        <w:right w:val="none" w:sz="0" w:space="0" w:color="auto"/>
                      </w:divBdr>
                      <w:divsChild>
                        <w:div w:id="1288704490">
                          <w:marLeft w:val="0"/>
                          <w:marRight w:val="0"/>
                          <w:marTop w:val="0"/>
                          <w:marBottom w:val="0"/>
                          <w:divBdr>
                            <w:top w:val="none" w:sz="0" w:space="0" w:color="auto"/>
                            <w:left w:val="none" w:sz="0" w:space="0" w:color="auto"/>
                            <w:bottom w:val="none" w:sz="0" w:space="0" w:color="auto"/>
                            <w:right w:val="none" w:sz="0" w:space="0" w:color="auto"/>
                          </w:divBdr>
                          <w:divsChild>
                            <w:div w:id="912860885">
                              <w:marLeft w:val="0"/>
                              <w:marRight w:val="0"/>
                              <w:marTop w:val="0"/>
                              <w:marBottom w:val="0"/>
                              <w:divBdr>
                                <w:top w:val="none" w:sz="0" w:space="0" w:color="auto"/>
                                <w:left w:val="none" w:sz="0" w:space="0" w:color="auto"/>
                                <w:bottom w:val="none" w:sz="0" w:space="0" w:color="auto"/>
                                <w:right w:val="none" w:sz="0" w:space="0" w:color="auto"/>
                              </w:divBdr>
                              <w:divsChild>
                                <w:div w:id="1516535098">
                                  <w:marLeft w:val="0"/>
                                  <w:marRight w:val="0"/>
                                  <w:marTop w:val="0"/>
                                  <w:marBottom w:val="0"/>
                                  <w:divBdr>
                                    <w:top w:val="single" w:sz="6" w:space="0" w:color="999999"/>
                                    <w:left w:val="single" w:sz="6" w:space="0" w:color="999999"/>
                                    <w:bottom w:val="single" w:sz="6" w:space="0" w:color="999999"/>
                                    <w:right w:val="single" w:sz="6" w:space="0" w:color="999999"/>
                                  </w:divBdr>
                                  <w:divsChild>
                                    <w:div w:id="1310943835">
                                      <w:marLeft w:val="0"/>
                                      <w:marRight w:val="0"/>
                                      <w:marTop w:val="0"/>
                                      <w:marBottom w:val="0"/>
                                      <w:divBdr>
                                        <w:top w:val="single" w:sz="2" w:space="0" w:color="777777"/>
                                        <w:left w:val="single" w:sz="2" w:space="0" w:color="777777"/>
                                        <w:bottom w:val="single" w:sz="2" w:space="0" w:color="777777"/>
                                        <w:right w:val="single" w:sz="2" w:space="0" w:color="777777"/>
                                      </w:divBdr>
                                      <w:divsChild>
                                        <w:div w:id="1884248889">
                                          <w:marLeft w:val="0"/>
                                          <w:marRight w:val="0"/>
                                          <w:marTop w:val="0"/>
                                          <w:marBottom w:val="0"/>
                                          <w:divBdr>
                                            <w:top w:val="none" w:sz="0" w:space="0" w:color="auto"/>
                                            <w:left w:val="none" w:sz="0" w:space="0" w:color="auto"/>
                                            <w:bottom w:val="none" w:sz="0" w:space="0" w:color="auto"/>
                                            <w:right w:val="none" w:sz="0" w:space="0" w:color="auto"/>
                                          </w:divBdr>
                                          <w:divsChild>
                                            <w:div w:id="1402487175">
                                              <w:marLeft w:val="0"/>
                                              <w:marRight w:val="0"/>
                                              <w:marTop w:val="0"/>
                                              <w:marBottom w:val="0"/>
                                              <w:divBdr>
                                                <w:top w:val="none" w:sz="0" w:space="0" w:color="auto"/>
                                                <w:left w:val="single" w:sz="6" w:space="0" w:color="777777"/>
                                                <w:bottom w:val="single" w:sz="6" w:space="0" w:color="777777"/>
                                                <w:right w:val="single" w:sz="6" w:space="0" w:color="777777"/>
                                              </w:divBdr>
                                              <w:divsChild>
                                                <w:div w:id="1128202506">
                                                  <w:marLeft w:val="0"/>
                                                  <w:marRight w:val="0"/>
                                                  <w:marTop w:val="0"/>
                                                  <w:marBottom w:val="0"/>
                                                  <w:divBdr>
                                                    <w:top w:val="none" w:sz="0" w:space="0" w:color="auto"/>
                                                    <w:left w:val="none" w:sz="0" w:space="0" w:color="auto"/>
                                                    <w:bottom w:val="none" w:sz="0" w:space="0" w:color="auto"/>
                                                    <w:right w:val="none" w:sz="0" w:space="0" w:color="auto"/>
                                                  </w:divBdr>
                                                  <w:divsChild>
                                                    <w:div w:id="1507674462">
                                                      <w:marLeft w:val="0"/>
                                                      <w:marRight w:val="0"/>
                                                      <w:marTop w:val="0"/>
                                                      <w:marBottom w:val="0"/>
                                                      <w:divBdr>
                                                        <w:top w:val="none" w:sz="0" w:space="0" w:color="auto"/>
                                                        <w:left w:val="none" w:sz="0" w:space="0" w:color="auto"/>
                                                        <w:bottom w:val="none" w:sz="0" w:space="0" w:color="auto"/>
                                                        <w:right w:val="none" w:sz="0" w:space="0" w:color="auto"/>
                                                      </w:divBdr>
                                                      <w:divsChild>
                                                        <w:div w:id="1825005449">
                                                          <w:marLeft w:val="0"/>
                                                          <w:marRight w:val="0"/>
                                                          <w:marTop w:val="0"/>
                                                          <w:marBottom w:val="0"/>
                                                          <w:divBdr>
                                                            <w:top w:val="none" w:sz="0" w:space="0" w:color="auto"/>
                                                            <w:left w:val="none" w:sz="0" w:space="0" w:color="auto"/>
                                                            <w:bottom w:val="none" w:sz="0" w:space="0" w:color="auto"/>
                                                            <w:right w:val="none" w:sz="0" w:space="0" w:color="auto"/>
                                                          </w:divBdr>
                                                          <w:divsChild>
                                                            <w:div w:id="2147122030">
                                                              <w:marLeft w:val="0"/>
                                                              <w:marRight w:val="0"/>
                                                              <w:marTop w:val="45"/>
                                                              <w:marBottom w:val="0"/>
                                                              <w:divBdr>
                                                                <w:top w:val="none" w:sz="0" w:space="0" w:color="auto"/>
                                                                <w:left w:val="none" w:sz="0" w:space="0" w:color="auto"/>
                                                                <w:bottom w:val="none" w:sz="0" w:space="0" w:color="auto"/>
                                                                <w:right w:val="none" w:sz="0" w:space="0" w:color="auto"/>
                                                              </w:divBdr>
                                                              <w:divsChild>
                                                                <w:div w:id="61219015">
                                                                  <w:marLeft w:val="0"/>
                                                                  <w:marRight w:val="0"/>
                                                                  <w:marTop w:val="0"/>
                                                                  <w:marBottom w:val="0"/>
                                                                  <w:divBdr>
                                                                    <w:top w:val="none" w:sz="0" w:space="0" w:color="auto"/>
                                                                    <w:left w:val="none" w:sz="0" w:space="0" w:color="auto"/>
                                                                    <w:bottom w:val="none" w:sz="0" w:space="0" w:color="auto"/>
                                                                    <w:right w:val="none" w:sz="0" w:space="0" w:color="auto"/>
                                                                  </w:divBdr>
                                                                  <w:divsChild>
                                                                    <w:div w:id="1321234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4419482">
                                                              <w:marLeft w:val="0"/>
                                                              <w:marRight w:val="0"/>
                                                              <w:marTop w:val="0"/>
                                                              <w:marBottom w:val="0"/>
                                                              <w:divBdr>
                                                                <w:top w:val="none" w:sz="0" w:space="0" w:color="auto"/>
                                                                <w:left w:val="none" w:sz="0" w:space="0" w:color="auto"/>
                                                                <w:bottom w:val="none" w:sz="0" w:space="0" w:color="auto"/>
                                                                <w:right w:val="none" w:sz="0" w:space="0" w:color="auto"/>
                                                              </w:divBdr>
                                                            </w:div>
                                                          </w:divsChild>
                                                        </w:div>
                                                        <w:div w:id="1725790399">
                                                          <w:marLeft w:val="0"/>
                                                          <w:marRight w:val="75"/>
                                                          <w:marTop w:val="0"/>
                                                          <w:marBottom w:val="0"/>
                                                          <w:divBdr>
                                                            <w:top w:val="none" w:sz="0" w:space="0" w:color="auto"/>
                                                            <w:left w:val="none" w:sz="0" w:space="0" w:color="auto"/>
                                                            <w:bottom w:val="none" w:sz="0" w:space="0" w:color="auto"/>
                                                            <w:right w:val="none" w:sz="0" w:space="0" w:color="auto"/>
                                                          </w:divBdr>
                                                          <w:divsChild>
                                                            <w:div w:id="631130210">
                                                              <w:marLeft w:val="0"/>
                                                              <w:marRight w:val="0"/>
                                                              <w:marTop w:val="0"/>
                                                              <w:marBottom w:val="0"/>
                                                              <w:divBdr>
                                                                <w:top w:val="single" w:sz="36" w:space="0" w:color="000000"/>
                                                                <w:left w:val="single" w:sz="36" w:space="0" w:color="000000"/>
                                                                <w:bottom w:val="single" w:sz="36" w:space="0" w:color="000000"/>
                                                                <w:right w:val="single" w:sz="36" w:space="0" w:color="000000"/>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bloomberg.com/search?q=Lorenzo+Bini+Smaghi&amp;site=wnews&amp;client=wnews&amp;proxystylesheet=noir_wnews&amp;output=xml_no_dtd&amp;ie=UTF-8&amp;oe=UTF-8&amp;filter=p&amp;getfields=wnnis&amp;sort=date:D:S:d1" TargetMode="Externa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arch.bloomberg.com/search?q=Laurent+Bilke&amp;site=wnews&amp;client=wnews&amp;proxystylesheet=noir_wnews&amp;output=xml_no_dtd&amp;ie=UTF-8&amp;oe=UTF-8&amp;filter=p&amp;getfields=wnnis&amp;sort=date:D:S:d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arch.bloomberg.com/search?q=Marco+Valli&amp;site=wnews&amp;client=wnews&amp;proxystylesheet=noir_wnews&amp;output=xml_no_dtd&amp;ie=UTF-8&amp;oe=UTF-8&amp;filter=p&amp;getfields=wnnis&amp;sort=date:D:S:d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oir.bloomberg.com/apps/quote?ticker=EURR002W%3AIND" TargetMode="External"/><Relationship Id="rId4" Type="http://schemas.openxmlformats.org/officeDocument/2006/relationships/webSettings" Target="webSettings.xml"/><Relationship Id="rId9" Type="http://schemas.openxmlformats.org/officeDocument/2006/relationships/hyperlink" Target="http://noir.bloomberg.com/apps/quote?ticker=ECCPEMUY%3AIND"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Leeds School of Business</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palmerm</dc:creator>
  <cp:lastModifiedBy>palmerm</cp:lastModifiedBy>
  <cp:revision>2</cp:revision>
  <dcterms:created xsi:type="dcterms:W3CDTF">2011-02-20T19:49:00Z</dcterms:created>
  <dcterms:modified xsi:type="dcterms:W3CDTF">2011-02-20T19:49:00Z</dcterms:modified>
</cp:coreProperties>
</file>