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610" w:rsidRPr="003D4610" w:rsidRDefault="003D4610" w:rsidP="003D4610">
      <w:pPr>
        <w:spacing w:after="240"/>
        <w:rPr>
          <w:rFonts w:ascii="Arial" w:hAnsi="Arial" w:cs="Arial"/>
          <w:b/>
        </w:rPr>
      </w:pPr>
      <w:r w:rsidRPr="005E4C45">
        <w:rPr>
          <w:rFonts w:ascii="Arial" w:hAnsi="Arial" w:cs="Arial"/>
          <w:b/>
          <w:sz w:val="28"/>
          <w:szCs w:val="28"/>
        </w:rPr>
        <w:t>Explaining Quantita</w:t>
      </w:r>
      <w:r w:rsidR="00114440" w:rsidRPr="005E4C45">
        <w:rPr>
          <w:rFonts w:ascii="Arial" w:hAnsi="Arial" w:cs="Arial"/>
          <w:b/>
          <w:sz w:val="28"/>
          <w:szCs w:val="28"/>
        </w:rPr>
        <w:t>tive Easing and QE2</w:t>
      </w:r>
      <w:r w:rsidRPr="005E4C45">
        <w:rPr>
          <w:rFonts w:ascii="Arial" w:hAnsi="Arial" w:cs="Arial"/>
          <w:b/>
          <w:sz w:val="28"/>
          <w:szCs w:val="28"/>
        </w:rPr>
        <w:br/>
      </w:r>
      <w:r w:rsidRPr="003D4610">
        <w:rPr>
          <w:rFonts w:ascii="Arial" w:hAnsi="Arial" w:cs="Arial"/>
          <w:b/>
        </w:rPr>
        <w:br/>
        <w:t>Quantitative Easing Explained</w:t>
      </w:r>
    </w:p>
    <w:p w:rsidR="003D4610" w:rsidRPr="003D4610" w:rsidRDefault="003D4610" w:rsidP="003D4610">
      <w:pPr>
        <w:pStyle w:val="NormalWeb"/>
        <w:rPr>
          <w:rFonts w:ascii="Arial" w:hAnsi="Arial" w:cs="Arial"/>
          <w:sz w:val="22"/>
          <w:szCs w:val="22"/>
        </w:rPr>
      </w:pPr>
      <w:r w:rsidRPr="003D4610">
        <w:rPr>
          <w:rFonts w:ascii="Arial" w:hAnsi="Arial" w:cs="Arial"/>
          <w:sz w:val="22"/>
          <w:szCs w:val="22"/>
        </w:rPr>
        <w:t>Central banks</w:t>
      </w:r>
      <w:r w:rsidR="00114440">
        <w:rPr>
          <w:rFonts w:ascii="Arial" w:hAnsi="Arial" w:cs="Arial"/>
          <w:sz w:val="22"/>
          <w:szCs w:val="22"/>
        </w:rPr>
        <w:t xml:space="preserve"> normally set the price of credit</w:t>
      </w:r>
      <w:r w:rsidRPr="003D4610">
        <w:rPr>
          <w:rFonts w:ascii="Arial" w:hAnsi="Arial" w:cs="Arial"/>
          <w:sz w:val="22"/>
          <w:szCs w:val="22"/>
        </w:rPr>
        <w:t xml:space="preserve"> using official interest rates to regulate the economy. These interest rates radiate out to the rest of the economy. They affect the cost of loans paid by companies, the cost of mortgages for households and the return on saving money. Higher interest rates make borrowing less attractive because taking out a loan becomes more expensive. They also make saving more attractive, demand and spending reduces. Lower interest rates have the reverse effect.</w:t>
      </w:r>
    </w:p>
    <w:p w:rsidR="004206A5" w:rsidRDefault="003D4610" w:rsidP="004206A5">
      <w:pPr>
        <w:pStyle w:val="NormalWeb"/>
        <w:rPr>
          <w:rFonts w:ascii="Arial" w:hAnsi="Arial" w:cs="Arial"/>
          <w:sz w:val="22"/>
          <w:szCs w:val="22"/>
        </w:rPr>
      </w:pPr>
      <w:r w:rsidRPr="003D4610">
        <w:rPr>
          <w:rFonts w:ascii="Arial" w:hAnsi="Arial" w:cs="Arial"/>
          <w:sz w:val="22"/>
          <w:szCs w:val="22"/>
        </w:rPr>
        <w:t xml:space="preserve">But interest rates cannot be </w:t>
      </w:r>
      <w:r w:rsidR="00114440">
        <w:rPr>
          <w:rFonts w:ascii="Arial" w:hAnsi="Arial" w:cs="Arial"/>
          <w:sz w:val="22"/>
          <w:szCs w:val="22"/>
        </w:rPr>
        <w:t>cut below zero and when central bank</w:t>
      </w:r>
      <w:r w:rsidRPr="003D4610">
        <w:rPr>
          <w:rFonts w:ascii="Arial" w:hAnsi="Arial" w:cs="Arial"/>
          <w:sz w:val="22"/>
          <w:szCs w:val="22"/>
        </w:rPr>
        <w:t xml:space="preserve"> rates get close to zero the effect they have on regulating the economy becomes muted</w:t>
      </w:r>
      <w:r w:rsidR="004206A5">
        <w:rPr>
          <w:rFonts w:ascii="Arial" w:hAnsi="Arial" w:cs="Arial"/>
          <w:sz w:val="22"/>
          <w:szCs w:val="22"/>
        </w:rPr>
        <w:t xml:space="preserve">.  Throughout the credit crisis up until the present, the Fed has driven </w:t>
      </w:r>
      <w:r w:rsidR="007D0A71">
        <w:rPr>
          <w:rFonts w:ascii="Arial" w:hAnsi="Arial" w:cs="Arial"/>
          <w:sz w:val="22"/>
          <w:szCs w:val="22"/>
        </w:rPr>
        <w:t>down short term interest rates.  This is seen by comparing the U.S. yield curve one year prior to the October 2008 credit crisis to the current yield curve.</w:t>
      </w:r>
    </w:p>
    <w:p w:rsidR="007D0A71" w:rsidRDefault="007D0A71" w:rsidP="004206A5">
      <w:pPr>
        <w:pStyle w:val="NormalWeb"/>
        <w:rPr>
          <w:rFonts w:ascii="Arial" w:hAnsi="Arial" w:cs="Arial"/>
          <w:sz w:val="22"/>
          <w:szCs w:val="22"/>
        </w:rPr>
      </w:pPr>
      <w:r>
        <w:rPr>
          <w:rFonts w:ascii="Arial" w:hAnsi="Arial" w:cs="Arial"/>
          <w:sz w:val="22"/>
          <w:szCs w:val="22"/>
        </w:rPr>
        <w:t>Yield Curve:  October 10, 2007                          Yield Curve:  January 7, 2011</w:t>
      </w:r>
    </w:p>
    <w:p w:rsidR="007D0A71" w:rsidRDefault="007D0A71" w:rsidP="004206A5">
      <w:pPr>
        <w:pStyle w:val="NormalWeb"/>
        <w:rPr>
          <w:rFonts w:ascii="Arial" w:hAnsi="Arial" w:cs="Arial"/>
          <w:sz w:val="22"/>
          <w:szCs w:val="22"/>
        </w:rPr>
      </w:pPr>
      <w:r>
        <w:rPr>
          <w:noProof/>
        </w:rPr>
        <w:drawing>
          <wp:inline distT="0" distB="0" distL="0" distR="0" wp14:anchorId="3F43C27F" wp14:editId="25896B57">
            <wp:extent cx="2524125" cy="2066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3943" t="25641" r="66506" b="39743"/>
                    <a:stretch/>
                  </pic:blipFill>
                  <pic:spPr bwMode="auto">
                    <a:xfrm>
                      <a:off x="0" y="0"/>
                      <a:ext cx="2524125" cy="20669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41B2B0" wp14:editId="7B70DB88">
            <wp:extent cx="260032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4102" t="25602" r="67300" b="39743"/>
                    <a:stretch/>
                  </pic:blipFill>
                  <pic:spPr bwMode="auto">
                    <a:xfrm>
                      <a:off x="0" y="0"/>
                      <a:ext cx="2600325"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7D0A71" w:rsidRDefault="007D0A71" w:rsidP="004206A5">
      <w:pPr>
        <w:pStyle w:val="NormalWeb"/>
        <w:rPr>
          <w:rFonts w:ascii="Arial" w:hAnsi="Arial" w:cs="Arial"/>
          <w:sz w:val="22"/>
          <w:szCs w:val="22"/>
        </w:rPr>
      </w:pPr>
      <w:r>
        <w:rPr>
          <w:rFonts w:ascii="Arial" w:hAnsi="Arial" w:cs="Arial"/>
          <w:sz w:val="22"/>
          <w:szCs w:val="22"/>
        </w:rPr>
        <w:t>Given that the Fed has pushed short term r</w:t>
      </w:r>
      <w:r w:rsidR="00114440">
        <w:rPr>
          <w:rFonts w:ascii="Arial" w:hAnsi="Arial" w:cs="Arial"/>
          <w:sz w:val="22"/>
          <w:szCs w:val="22"/>
        </w:rPr>
        <w:t>ates to their bottom, the question is</w:t>
      </w:r>
      <w:r>
        <w:rPr>
          <w:rFonts w:ascii="Arial" w:hAnsi="Arial" w:cs="Arial"/>
          <w:sz w:val="22"/>
          <w:szCs w:val="22"/>
        </w:rPr>
        <w:t xml:space="preserve"> how to stimulate the economy through additional interest rate changes (which clearly cannot be done at the </w:t>
      </w:r>
      <w:r w:rsidR="00654875">
        <w:rPr>
          <w:rFonts w:ascii="Arial" w:hAnsi="Arial" w:cs="Arial"/>
          <w:sz w:val="22"/>
          <w:szCs w:val="22"/>
        </w:rPr>
        <w:t>short end of the yield curve)</w:t>
      </w:r>
      <w:r w:rsidR="00114440">
        <w:rPr>
          <w:rFonts w:ascii="Arial" w:hAnsi="Arial" w:cs="Arial"/>
          <w:sz w:val="22"/>
          <w:szCs w:val="22"/>
        </w:rPr>
        <w:t>.  The answer is that the Fed</w:t>
      </w:r>
      <w:r w:rsidR="00654875">
        <w:rPr>
          <w:rFonts w:ascii="Arial" w:hAnsi="Arial" w:cs="Arial"/>
          <w:sz w:val="22"/>
          <w:szCs w:val="22"/>
        </w:rPr>
        <w:t xml:space="preserve"> must engage in policies which affect the longer term segment of the yield curve.  This essentially is quantitative easing. </w:t>
      </w:r>
    </w:p>
    <w:p w:rsidR="00654875" w:rsidRDefault="00654875" w:rsidP="00654875">
      <w:pPr>
        <w:pStyle w:val="NormalWeb"/>
        <w:rPr>
          <w:rFonts w:ascii="Arial" w:hAnsi="Arial" w:cs="Arial"/>
          <w:sz w:val="22"/>
          <w:szCs w:val="22"/>
        </w:rPr>
      </w:pPr>
      <w:r>
        <w:rPr>
          <w:rFonts w:ascii="Arial" w:hAnsi="Arial" w:cs="Arial"/>
          <w:sz w:val="22"/>
          <w:szCs w:val="22"/>
        </w:rPr>
        <w:t>Thus, w</w:t>
      </w:r>
      <w:r w:rsidRPr="003D4610">
        <w:rPr>
          <w:rFonts w:ascii="Arial" w:hAnsi="Arial" w:cs="Arial"/>
          <w:sz w:val="22"/>
          <w:szCs w:val="22"/>
        </w:rPr>
        <w:t xml:space="preserve">hen interest rates are close to zero </w:t>
      </w:r>
      <w:r w:rsidR="00114440">
        <w:rPr>
          <w:rFonts w:ascii="Arial" w:hAnsi="Arial" w:cs="Arial"/>
          <w:sz w:val="22"/>
          <w:szCs w:val="22"/>
        </w:rPr>
        <w:t xml:space="preserve">the </w:t>
      </w:r>
      <w:r>
        <w:rPr>
          <w:rFonts w:ascii="Arial" w:hAnsi="Arial" w:cs="Arial"/>
          <w:sz w:val="22"/>
          <w:szCs w:val="22"/>
        </w:rPr>
        <w:t xml:space="preserve">other </w:t>
      </w:r>
      <w:r w:rsidR="00A33213">
        <w:rPr>
          <w:rFonts w:ascii="Arial" w:hAnsi="Arial" w:cs="Arial"/>
          <w:sz w:val="22"/>
          <w:szCs w:val="22"/>
        </w:rPr>
        <w:t xml:space="preserve">way </w:t>
      </w:r>
      <w:r>
        <w:rPr>
          <w:rFonts w:ascii="Arial" w:hAnsi="Arial" w:cs="Arial"/>
          <w:sz w:val="22"/>
          <w:szCs w:val="22"/>
        </w:rPr>
        <w:t xml:space="preserve">of affecting interest rates is </w:t>
      </w:r>
      <w:r w:rsidR="00A33213">
        <w:rPr>
          <w:rFonts w:ascii="Arial" w:hAnsi="Arial" w:cs="Arial"/>
          <w:sz w:val="22"/>
          <w:szCs w:val="22"/>
        </w:rPr>
        <w:t xml:space="preserve">through </w:t>
      </w:r>
      <w:r>
        <w:rPr>
          <w:rFonts w:ascii="Arial" w:hAnsi="Arial" w:cs="Arial"/>
          <w:sz w:val="22"/>
          <w:szCs w:val="22"/>
        </w:rPr>
        <w:t xml:space="preserve">Quantitative Easing </w:t>
      </w:r>
      <w:r w:rsidR="00A33213">
        <w:rPr>
          <w:rFonts w:ascii="Arial" w:hAnsi="Arial" w:cs="Arial"/>
          <w:sz w:val="22"/>
          <w:szCs w:val="22"/>
        </w:rPr>
        <w:t xml:space="preserve">(QE) </w:t>
      </w:r>
      <w:r>
        <w:rPr>
          <w:rFonts w:ascii="Arial" w:hAnsi="Arial" w:cs="Arial"/>
          <w:sz w:val="22"/>
          <w:szCs w:val="22"/>
        </w:rPr>
        <w:t xml:space="preserve">which </w:t>
      </w:r>
      <w:r w:rsidRPr="003D4610">
        <w:rPr>
          <w:rFonts w:ascii="Arial" w:eastAsia="Times New Roman" w:hAnsi="Arial" w:cs="Arial"/>
          <w:color w:val="000000"/>
          <w:sz w:val="22"/>
          <w:szCs w:val="22"/>
        </w:rPr>
        <w:t>is the practice of expanding a central bank’s balance sheet by buying long-term assets in an attempt to drive down long-term interest rates.</w:t>
      </w:r>
      <w:r w:rsidRPr="004206A5">
        <w:rPr>
          <w:rFonts w:ascii="Arial" w:hAnsi="Arial" w:cs="Arial"/>
          <w:sz w:val="22"/>
          <w:szCs w:val="22"/>
        </w:rPr>
        <w:t xml:space="preserve"> </w:t>
      </w:r>
      <w:r w:rsidRPr="003D4610">
        <w:rPr>
          <w:rFonts w:ascii="Arial" w:hAnsi="Arial" w:cs="Arial"/>
          <w:sz w:val="22"/>
          <w:szCs w:val="22"/>
        </w:rPr>
        <w:t xml:space="preserve">With cheaper </w:t>
      </w:r>
      <w:r>
        <w:rPr>
          <w:rFonts w:ascii="Arial" w:hAnsi="Arial" w:cs="Arial"/>
          <w:sz w:val="22"/>
          <w:szCs w:val="22"/>
        </w:rPr>
        <w:t xml:space="preserve">long term borrowing rates </w:t>
      </w:r>
      <w:r w:rsidRPr="003D4610">
        <w:rPr>
          <w:rFonts w:ascii="Arial" w:hAnsi="Arial" w:cs="Arial"/>
          <w:sz w:val="22"/>
          <w:szCs w:val="22"/>
        </w:rPr>
        <w:t>the hope is that the central bank will again encourage greater spending</w:t>
      </w:r>
      <w:r w:rsidR="00A33213">
        <w:rPr>
          <w:rFonts w:ascii="Arial" w:hAnsi="Arial" w:cs="Arial"/>
          <w:sz w:val="22"/>
          <w:szCs w:val="22"/>
        </w:rPr>
        <w:t xml:space="preserve"> and borrowing</w:t>
      </w:r>
      <w:r w:rsidRPr="003D4610">
        <w:rPr>
          <w:rFonts w:ascii="Arial" w:hAnsi="Arial" w:cs="Arial"/>
          <w:sz w:val="22"/>
          <w:szCs w:val="22"/>
        </w:rPr>
        <w:t>, putting additional demand into the economy</w:t>
      </w:r>
      <w:r w:rsidR="00A33213">
        <w:rPr>
          <w:rFonts w:ascii="Arial" w:hAnsi="Arial" w:cs="Arial"/>
          <w:sz w:val="22"/>
          <w:szCs w:val="22"/>
        </w:rPr>
        <w:t xml:space="preserve">. As </w:t>
      </w:r>
      <w:r w:rsidRPr="003D4610">
        <w:rPr>
          <w:rFonts w:ascii="Arial" w:hAnsi="Arial" w:cs="Arial"/>
          <w:sz w:val="22"/>
          <w:szCs w:val="22"/>
        </w:rPr>
        <w:t>money ends up in bank deposits, banks should also find their funding position improved and make them more willing to lend.</w:t>
      </w:r>
      <w:r w:rsidRPr="004206A5">
        <w:rPr>
          <w:rFonts w:ascii="Arial" w:hAnsi="Arial" w:cs="Arial"/>
          <w:sz w:val="22"/>
          <w:szCs w:val="22"/>
        </w:rPr>
        <w:t xml:space="preserve"> </w:t>
      </w:r>
      <w:r>
        <w:rPr>
          <w:rFonts w:ascii="Arial" w:hAnsi="Arial" w:cs="Arial"/>
          <w:sz w:val="22"/>
          <w:szCs w:val="22"/>
        </w:rPr>
        <w:t xml:space="preserve">An additional </w:t>
      </w:r>
      <w:r w:rsidRPr="003D4610">
        <w:rPr>
          <w:rFonts w:ascii="Arial" w:hAnsi="Arial" w:cs="Arial"/>
          <w:sz w:val="22"/>
          <w:szCs w:val="22"/>
        </w:rPr>
        <w:t>side effect will be that this new money is expected to raise consumer prices giving people another incentive to buy now rather than later.</w:t>
      </w:r>
    </w:p>
    <w:p w:rsidR="00114440" w:rsidRPr="00114440" w:rsidRDefault="00114440" w:rsidP="00654875">
      <w:pPr>
        <w:pStyle w:val="NormalWeb"/>
        <w:rPr>
          <w:rFonts w:ascii="Arial" w:hAnsi="Arial" w:cs="Arial"/>
          <w:b/>
          <w:sz w:val="22"/>
          <w:szCs w:val="22"/>
        </w:rPr>
      </w:pPr>
      <w:r w:rsidRPr="00114440">
        <w:rPr>
          <w:rFonts w:ascii="Arial" w:hAnsi="Arial" w:cs="Arial"/>
          <w:b/>
          <w:sz w:val="22"/>
          <w:szCs w:val="22"/>
        </w:rPr>
        <w:t>QE2</w:t>
      </w:r>
    </w:p>
    <w:p w:rsidR="004206A5" w:rsidRPr="00654875" w:rsidRDefault="004206A5" w:rsidP="00654875">
      <w:pPr>
        <w:pStyle w:val="NormalWeb"/>
        <w:rPr>
          <w:rFonts w:ascii="Arial" w:hAnsi="Arial" w:cs="Arial"/>
          <w:sz w:val="22"/>
          <w:szCs w:val="22"/>
        </w:rPr>
      </w:pPr>
      <w:r w:rsidRPr="003D4610">
        <w:rPr>
          <w:rFonts w:ascii="Arial" w:eastAsia="Times New Roman" w:hAnsi="Arial" w:cs="Arial"/>
          <w:color w:val="000000"/>
          <w:sz w:val="22"/>
          <w:szCs w:val="22"/>
        </w:rPr>
        <w:lastRenderedPageBreak/>
        <w:t xml:space="preserve">In 2010, the </w:t>
      </w:r>
      <w:hyperlink r:id="rId7" w:history="1">
        <w:r w:rsidRPr="004206A5">
          <w:rPr>
            <w:rFonts w:ascii="Arial" w:eastAsia="Times New Roman" w:hAnsi="Arial" w:cs="Arial"/>
            <w:sz w:val="22"/>
            <w:szCs w:val="22"/>
          </w:rPr>
          <w:t>Federal Reserve</w:t>
        </w:r>
      </w:hyperlink>
      <w:r>
        <w:rPr>
          <w:rFonts w:ascii="Arial" w:eastAsia="Times New Roman" w:hAnsi="Arial" w:cs="Arial"/>
          <w:color w:val="000000"/>
          <w:sz w:val="22"/>
          <w:szCs w:val="22"/>
        </w:rPr>
        <w:t xml:space="preserve"> launched a new program</w:t>
      </w:r>
      <w:r w:rsidRPr="003D4610">
        <w:rPr>
          <w:rFonts w:ascii="Arial" w:eastAsia="Times New Roman" w:hAnsi="Arial" w:cs="Arial"/>
          <w:color w:val="000000"/>
          <w:sz w:val="22"/>
          <w:szCs w:val="22"/>
        </w:rPr>
        <w:t xml:space="preserve"> of quantitative easing - nicknamed QE2 </w:t>
      </w:r>
      <w:r w:rsidR="00A33213">
        <w:rPr>
          <w:rFonts w:ascii="Arial" w:eastAsia="Times New Roman" w:hAnsi="Arial" w:cs="Arial"/>
          <w:color w:val="000000"/>
          <w:sz w:val="22"/>
          <w:szCs w:val="22"/>
        </w:rPr>
        <w:t>–</w:t>
      </w:r>
      <w:r w:rsidRPr="003D4610">
        <w:rPr>
          <w:rFonts w:ascii="Arial" w:eastAsia="Times New Roman" w:hAnsi="Arial" w:cs="Arial"/>
          <w:color w:val="000000"/>
          <w:sz w:val="22"/>
          <w:szCs w:val="22"/>
        </w:rPr>
        <w:t xml:space="preserve"> and</w:t>
      </w:r>
      <w:r w:rsidR="00A33213">
        <w:rPr>
          <w:rFonts w:ascii="Arial" w:eastAsia="Times New Roman" w:hAnsi="Arial" w:cs="Arial"/>
          <w:color w:val="000000"/>
          <w:sz w:val="22"/>
          <w:szCs w:val="22"/>
        </w:rPr>
        <w:t xml:space="preserve"> announced it</w:t>
      </w:r>
      <w:r w:rsidRPr="003D4610">
        <w:rPr>
          <w:rFonts w:ascii="Arial" w:eastAsia="Times New Roman" w:hAnsi="Arial" w:cs="Arial"/>
          <w:color w:val="000000"/>
          <w:sz w:val="22"/>
          <w:szCs w:val="22"/>
        </w:rPr>
        <w:t xml:space="preserve"> will buy $600bn of longer-term Treasury securities by the middle of 2011. </w:t>
      </w:r>
    </w:p>
    <w:p w:rsidR="003D4610" w:rsidRPr="004206A5" w:rsidRDefault="004206A5" w:rsidP="004206A5">
      <w:pPr>
        <w:spacing w:before="100" w:beforeAutospacing="1" w:after="100" w:afterAutospacing="1" w:line="270" w:lineRule="atLeast"/>
        <w:rPr>
          <w:rFonts w:ascii="Arial" w:eastAsia="Times New Roman" w:hAnsi="Arial" w:cs="Arial"/>
          <w:color w:val="000000"/>
          <w:sz w:val="22"/>
          <w:szCs w:val="22"/>
        </w:rPr>
      </w:pPr>
      <w:r w:rsidRPr="003D4610">
        <w:rPr>
          <w:rFonts w:ascii="Arial" w:eastAsia="Times New Roman" w:hAnsi="Arial" w:cs="Arial"/>
          <w:color w:val="000000"/>
          <w:sz w:val="22"/>
          <w:szCs w:val="22"/>
        </w:rPr>
        <w:t>For a hard core of hawks, the risks of failure with QE2 are so grave that the policy oug</w:t>
      </w:r>
      <w:r w:rsidR="00A33213">
        <w:rPr>
          <w:rFonts w:ascii="Arial" w:eastAsia="Times New Roman" w:hAnsi="Arial" w:cs="Arial"/>
          <w:color w:val="000000"/>
          <w:sz w:val="22"/>
          <w:szCs w:val="22"/>
        </w:rPr>
        <w:t xml:space="preserve">ht to be ruled out altogether. One </w:t>
      </w:r>
      <w:r w:rsidRPr="003D4610">
        <w:rPr>
          <w:rFonts w:ascii="Arial" w:eastAsia="Times New Roman" w:hAnsi="Arial" w:cs="Arial"/>
          <w:color w:val="000000"/>
          <w:sz w:val="22"/>
          <w:szCs w:val="22"/>
        </w:rPr>
        <w:t>obvious risk is that the Fed could go too far and thus ignite inflation.</w:t>
      </w:r>
      <w:r w:rsidR="00114440">
        <w:rPr>
          <w:rFonts w:ascii="Arial" w:eastAsia="Times New Roman" w:hAnsi="Arial" w:cs="Arial"/>
          <w:color w:val="000000"/>
          <w:sz w:val="22"/>
          <w:szCs w:val="22"/>
        </w:rPr>
        <w:t xml:space="preserve"> </w:t>
      </w:r>
      <w:r>
        <w:rPr>
          <w:rFonts w:ascii="Arial" w:eastAsia="Times New Roman" w:hAnsi="Arial" w:cs="Arial"/>
          <w:color w:val="000000"/>
          <w:sz w:val="22"/>
          <w:szCs w:val="22"/>
        </w:rPr>
        <w:t>Another</w:t>
      </w:r>
      <w:r w:rsidRPr="003D4610">
        <w:rPr>
          <w:rFonts w:ascii="Arial" w:eastAsia="Times New Roman" w:hAnsi="Arial" w:cs="Arial"/>
          <w:color w:val="000000"/>
          <w:sz w:val="22"/>
          <w:szCs w:val="22"/>
        </w:rPr>
        <w:t xml:space="preserve"> serious risk is that by pushing down yields on long-term US Treasury bonds - the world’s benchmark interest rate - the Fed will be forcing investors into other assets, from foreign currencies to equities. That may have unintended consequences, not least the risk of creating </w:t>
      </w:r>
      <w:r w:rsidR="00A33213">
        <w:rPr>
          <w:rFonts w:ascii="Arial" w:eastAsia="Times New Roman" w:hAnsi="Arial" w:cs="Arial"/>
          <w:color w:val="000000"/>
          <w:sz w:val="22"/>
          <w:szCs w:val="22"/>
        </w:rPr>
        <w:t xml:space="preserve">financial and real </w:t>
      </w:r>
      <w:r w:rsidRPr="003D4610">
        <w:rPr>
          <w:rFonts w:ascii="Arial" w:eastAsia="Times New Roman" w:hAnsi="Arial" w:cs="Arial"/>
          <w:color w:val="000000"/>
          <w:sz w:val="22"/>
          <w:szCs w:val="22"/>
        </w:rPr>
        <w:t>asset price bu</w:t>
      </w:r>
      <w:r>
        <w:rPr>
          <w:rFonts w:ascii="Arial" w:eastAsia="Times New Roman" w:hAnsi="Arial" w:cs="Arial"/>
          <w:color w:val="000000"/>
          <w:sz w:val="22"/>
          <w:szCs w:val="22"/>
        </w:rPr>
        <w:t>bbles, which may end unhappily</w:t>
      </w:r>
      <w:r w:rsidR="003D4610" w:rsidRPr="003D4610">
        <w:rPr>
          <w:rFonts w:ascii="Arial" w:hAnsi="Arial" w:cs="Arial"/>
          <w:sz w:val="22"/>
          <w:szCs w:val="22"/>
        </w:rPr>
        <w:t xml:space="preserve">. </w:t>
      </w:r>
      <w:r>
        <w:rPr>
          <w:rFonts w:ascii="Arial" w:hAnsi="Arial" w:cs="Arial"/>
          <w:sz w:val="22"/>
          <w:szCs w:val="22"/>
        </w:rPr>
        <w:t xml:space="preserve">Finally, </w:t>
      </w:r>
      <w:r w:rsidR="003D4610" w:rsidRPr="003D4610">
        <w:rPr>
          <w:rFonts w:ascii="Arial" w:hAnsi="Arial" w:cs="Arial"/>
          <w:sz w:val="22"/>
          <w:szCs w:val="22"/>
        </w:rPr>
        <w:t>if a descent into QE destroys confidence in an economy rather than gives reassurance that the authorities are on the case it can be counter-productive.</w:t>
      </w:r>
    </w:p>
    <w:p w:rsidR="003D4610" w:rsidRDefault="003D4610" w:rsidP="003D4610">
      <w:pPr>
        <w:pStyle w:val="NormalWeb"/>
        <w:rPr>
          <w:rFonts w:ascii="Arial" w:hAnsi="Arial" w:cs="Arial"/>
          <w:sz w:val="22"/>
          <w:szCs w:val="22"/>
        </w:rPr>
      </w:pPr>
      <w:r w:rsidRPr="003D4610">
        <w:rPr>
          <w:rFonts w:ascii="Arial" w:hAnsi="Arial" w:cs="Arial"/>
          <w:sz w:val="22"/>
          <w:szCs w:val="22"/>
        </w:rPr>
        <w:t xml:space="preserve">That is why central </w:t>
      </w:r>
      <w:r w:rsidR="00A33213">
        <w:rPr>
          <w:rFonts w:ascii="Arial" w:hAnsi="Arial" w:cs="Arial"/>
          <w:sz w:val="22"/>
          <w:szCs w:val="22"/>
        </w:rPr>
        <w:t>banks cannot use QE willy-nill</w:t>
      </w:r>
      <w:r w:rsidR="00BF4EFF">
        <w:rPr>
          <w:rFonts w:ascii="Arial" w:hAnsi="Arial" w:cs="Arial"/>
          <w:sz w:val="22"/>
          <w:szCs w:val="22"/>
        </w:rPr>
        <w:t>y</w:t>
      </w:r>
      <w:bookmarkStart w:id="0" w:name="_GoBack"/>
      <w:bookmarkEnd w:id="0"/>
      <w:r w:rsidR="00A33213">
        <w:rPr>
          <w:rFonts w:ascii="Arial" w:hAnsi="Arial" w:cs="Arial"/>
          <w:sz w:val="22"/>
          <w:szCs w:val="22"/>
        </w:rPr>
        <w:t>. H</w:t>
      </w:r>
      <w:r w:rsidR="004206A5">
        <w:rPr>
          <w:rFonts w:ascii="Arial" w:hAnsi="Arial" w:cs="Arial"/>
          <w:sz w:val="22"/>
          <w:szCs w:val="22"/>
        </w:rPr>
        <w:t xml:space="preserve">owever, if they </w:t>
      </w:r>
      <w:r w:rsidRPr="003D4610">
        <w:rPr>
          <w:rFonts w:ascii="Arial" w:hAnsi="Arial" w:cs="Arial"/>
          <w:sz w:val="22"/>
          <w:szCs w:val="22"/>
        </w:rPr>
        <w:t>are not aggressive enough QE simply will not work to change other interest rates in the economy and stimulate demand</w:t>
      </w:r>
      <w:r w:rsidR="004206A5">
        <w:rPr>
          <w:rFonts w:ascii="Arial" w:hAnsi="Arial" w:cs="Arial"/>
          <w:sz w:val="22"/>
          <w:szCs w:val="22"/>
        </w:rPr>
        <w:t xml:space="preserve">.  The trouble is </w:t>
      </w:r>
      <w:r w:rsidRPr="003D4610">
        <w:rPr>
          <w:rFonts w:ascii="Arial" w:hAnsi="Arial" w:cs="Arial"/>
          <w:sz w:val="22"/>
          <w:szCs w:val="22"/>
        </w:rPr>
        <w:t xml:space="preserve">because the policy is unorthodox no one knows how much QE is too much and how much is not enough. </w:t>
      </w:r>
    </w:p>
    <w:p w:rsidR="00654875" w:rsidRPr="003D4610" w:rsidRDefault="00654875" w:rsidP="003D4610">
      <w:pPr>
        <w:pStyle w:val="NormalWeb"/>
        <w:rPr>
          <w:rFonts w:ascii="Arial" w:hAnsi="Arial" w:cs="Arial"/>
          <w:sz w:val="22"/>
          <w:szCs w:val="22"/>
        </w:rPr>
      </w:pPr>
      <w:r>
        <w:rPr>
          <w:rFonts w:ascii="Arial" w:hAnsi="Arial" w:cs="Arial"/>
          <w:sz w:val="22"/>
          <w:szCs w:val="22"/>
        </w:rPr>
        <w:t>At the time Quantitative Easing</w:t>
      </w:r>
      <w:r w:rsidR="00114440">
        <w:rPr>
          <w:rFonts w:ascii="Arial" w:hAnsi="Arial" w:cs="Arial"/>
          <w:sz w:val="22"/>
          <w:szCs w:val="22"/>
        </w:rPr>
        <w:t xml:space="preserve"> was introduced as a policy tool</w:t>
      </w:r>
      <w:r>
        <w:rPr>
          <w:rFonts w:ascii="Arial" w:hAnsi="Arial" w:cs="Arial"/>
          <w:sz w:val="22"/>
          <w:szCs w:val="22"/>
        </w:rPr>
        <w:t xml:space="preserve">, there was immediate </w:t>
      </w:r>
      <w:r w:rsidR="00114440">
        <w:rPr>
          <w:rFonts w:ascii="Arial" w:hAnsi="Arial" w:cs="Arial"/>
          <w:sz w:val="22"/>
          <w:szCs w:val="22"/>
        </w:rPr>
        <w:t>skepticism raised in the financial and popular press.  One of the more dramatic cartoons appeared London’s Daily Telegraph newspapers (see below).  It suggested the QE was simply a way of providing poorly managed financial institutions with capital. Some still have this view.</w:t>
      </w:r>
      <w:r>
        <w:rPr>
          <w:rFonts w:ascii="Arial" w:hAnsi="Arial" w:cs="Arial"/>
          <w:sz w:val="22"/>
          <w:szCs w:val="22"/>
        </w:rPr>
        <w:t xml:space="preserve"> </w:t>
      </w:r>
    </w:p>
    <w:p w:rsidR="00114440" w:rsidRPr="00114440" w:rsidRDefault="003D4610" w:rsidP="00114440">
      <w:pPr>
        <w:spacing w:before="100" w:beforeAutospacing="1" w:after="100" w:afterAutospacing="1" w:line="270" w:lineRule="atLeast"/>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14:anchorId="2940EE1E" wp14:editId="3AFBAE4B">
            <wp:extent cx="571500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768" t="4750" r="6892"/>
                    <a:stretch/>
                  </pic:blipFill>
                  <pic:spPr bwMode="auto">
                    <a:xfrm>
                      <a:off x="0" y="0"/>
                      <a:ext cx="5715611" cy="4058084"/>
                    </a:xfrm>
                    <a:prstGeom prst="rect">
                      <a:avLst/>
                    </a:prstGeom>
                    <a:noFill/>
                    <a:ln>
                      <a:noFill/>
                    </a:ln>
                    <a:extLst>
                      <a:ext uri="{53640926-AAD7-44D8-BBD7-CCE9431645EC}">
                        <a14:shadowObscured xmlns:a14="http://schemas.microsoft.com/office/drawing/2010/main"/>
                      </a:ext>
                    </a:extLst>
                  </pic:spPr>
                </pic:pic>
              </a:graphicData>
            </a:graphic>
          </wp:inline>
        </w:drawing>
      </w:r>
    </w:p>
    <w:sectPr w:rsidR="00114440" w:rsidRPr="001144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610"/>
    <w:rsid w:val="00114440"/>
    <w:rsid w:val="0031318D"/>
    <w:rsid w:val="003D4610"/>
    <w:rsid w:val="004206A5"/>
    <w:rsid w:val="005E4C45"/>
    <w:rsid w:val="00654875"/>
    <w:rsid w:val="007D0A71"/>
    <w:rsid w:val="007F1DC5"/>
    <w:rsid w:val="00A33213"/>
    <w:rsid w:val="00AA0713"/>
    <w:rsid w:val="00BF4EFF"/>
    <w:rsid w:val="00FB7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610"/>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4610"/>
    <w:rPr>
      <w:color w:val="0000FF"/>
      <w:u w:val="single"/>
    </w:rPr>
  </w:style>
  <w:style w:type="paragraph" w:styleId="NormalWeb">
    <w:name w:val="Normal (Web)"/>
    <w:basedOn w:val="Normal"/>
    <w:uiPriority w:val="99"/>
    <w:unhideWhenUsed/>
    <w:rsid w:val="003D4610"/>
    <w:pPr>
      <w:spacing w:before="100" w:beforeAutospacing="1" w:after="100" w:afterAutospacing="1"/>
    </w:pPr>
  </w:style>
  <w:style w:type="paragraph" w:styleId="BalloonText">
    <w:name w:val="Balloon Text"/>
    <w:basedOn w:val="Normal"/>
    <w:link w:val="BalloonTextChar"/>
    <w:uiPriority w:val="99"/>
    <w:semiHidden/>
    <w:unhideWhenUsed/>
    <w:rsid w:val="003D4610"/>
    <w:rPr>
      <w:rFonts w:ascii="Tahoma" w:hAnsi="Tahoma" w:cs="Tahoma"/>
      <w:sz w:val="16"/>
      <w:szCs w:val="16"/>
    </w:rPr>
  </w:style>
  <w:style w:type="character" w:customStyle="1" w:styleId="BalloonTextChar">
    <w:name w:val="Balloon Text Char"/>
    <w:basedOn w:val="DefaultParagraphFont"/>
    <w:link w:val="BalloonText"/>
    <w:uiPriority w:val="99"/>
    <w:semiHidden/>
    <w:rsid w:val="003D46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610"/>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4610"/>
    <w:rPr>
      <w:color w:val="0000FF"/>
      <w:u w:val="single"/>
    </w:rPr>
  </w:style>
  <w:style w:type="paragraph" w:styleId="NormalWeb">
    <w:name w:val="Normal (Web)"/>
    <w:basedOn w:val="Normal"/>
    <w:uiPriority w:val="99"/>
    <w:unhideWhenUsed/>
    <w:rsid w:val="003D4610"/>
    <w:pPr>
      <w:spacing w:before="100" w:beforeAutospacing="1" w:after="100" w:afterAutospacing="1"/>
    </w:pPr>
  </w:style>
  <w:style w:type="paragraph" w:styleId="BalloonText">
    <w:name w:val="Balloon Text"/>
    <w:basedOn w:val="Normal"/>
    <w:link w:val="BalloonTextChar"/>
    <w:uiPriority w:val="99"/>
    <w:semiHidden/>
    <w:unhideWhenUsed/>
    <w:rsid w:val="003D4610"/>
    <w:rPr>
      <w:rFonts w:ascii="Tahoma" w:hAnsi="Tahoma" w:cs="Tahoma"/>
      <w:sz w:val="16"/>
      <w:szCs w:val="16"/>
    </w:rPr>
  </w:style>
  <w:style w:type="character" w:customStyle="1" w:styleId="BalloonTextChar">
    <w:name w:val="Balloon Text Char"/>
    <w:basedOn w:val="DefaultParagraphFont"/>
    <w:link w:val="BalloonText"/>
    <w:uiPriority w:val="99"/>
    <w:semiHidden/>
    <w:rsid w:val="003D46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62874">
      <w:bodyDiv w:val="1"/>
      <w:marLeft w:val="0"/>
      <w:marRight w:val="0"/>
      <w:marTop w:val="0"/>
      <w:marBottom w:val="0"/>
      <w:divBdr>
        <w:top w:val="none" w:sz="0" w:space="0" w:color="auto"/>
        <w:left w:val="none" w:sz="0" w:space="0" w:color="auto"/>
        <w:bottom w:val="none" w:sz="0" w:space="0" w:color="auto"/>
        <w:right w:val="none" w:sz="0" w:space="0" w:color="auto"/>
      </w:divBdr>
      <w:divsChild>
        <w:div w:id="942147831">
          <w:marLeft w:val="0"/>
          <w:marRight w:val="0"/>
          <w:marTop w:val="480"/>
          <w:marBottom w:val="0"/>
          <w:divBdr>
            <w:top w:val="none" w:sz="0" w:space="0" w:color="auto"/>
            <w:left w:val="none" w:sz="0" w:space="0" w:color="auto"/>
            <w:bottom w:val="none" w:sz="0" w:space="0" w:color="auto"/>
            <w:right w:val="none" w:sz="0" w:space="0" w:color="auto"/>
          </w:divBdr>
          <w:divsChild>
            <w:div w:id="393814110">
              <w:marLeft w:val="0"/>
              <w:marRight w:val="0"/>
              <w:marTop w:val="0"/>
              <w:marBottom w:val="0"/>
              <w:divBdr>
                <w:top w:val="none" w:sz="0" w:space="0" w:color="auto"/>
                <w:left w:val="none" w:sz="0" w:space="0" w:color="auto"/>
                <w:bottom w:val="none" w:sz="0" w:space="0" w:color="auto"/>
                <w:right w:val="none" w:sz="0" w:space="0" w:color="auto"/>
              </w:divBdr>
              <w:divsChild>
                <w:div w:id="253825679">
                  <w:marLeft w:val="0"/>
                  <w:marRight w:val="0"/>
                  <w:marTop w:val="0"/>
                  <w:marBottom w:val="0"/>
                  <w:divBdr>
                    <w:top w:val="none" w:sz="0" w:space="0" w:color="auto"/>
                    <w:left w:val="none" w:sz="0" w:space="0" w:color="auto"/>
                    <w:bottom w:val="none" w:sz="0" w:space="0" w:color="auto"/>
                    <w:right w:val="single" w:sz="12" w:space="0" w:color="E9DECF"/>
                  </w:divBdr>
                  <w:divsChild>
                    <w:div w:id="527790832">
                      <w:marLeft w:val="384"/>
                      <w:marRight w:val="360"/>
                      <w:marTop w:val="0"/>
                      <w:marBottom w:val="0"/>
                      <w:divBdr>
                        <w:top w:val="none" w:sz="0" w:space="0" w:color="auto"/>
                        <w:left w:val="none" w:sz="0" w:space="0" w:color="auto"/>
                        <w:bottom w:val="none" w:sz="0" w:space="0" w:color="auto"/>
                        <w:right w:val="none" w:sz="0" w:space="0" w:color="auto"/>
                      </w:divBdr>
                      <w:divsChild>
                        <w:div w:id="271715276">
                          <w:marLeft w:val="0"/>
                          <w:marRight w:val="0"/>
                          <w:marTop w:val="0"/>
                          <w:marBottom w:val="0"/>
                          <w:divBdr>
                            <w:top w:val="none" w:sz="0" w:space="0" w:color="auto"/>
                            <w:left w:val="none" w:sz="0" w:space="0" w:color="auto"/>
                            <w:bottom w:val="none" w:sz="0" w:space="0" w:color="auto"/>
                            <w:right w:val="none" w:sz="0" w:space="0" w:color="auto"/>
                          </w:divBdr>
                          <w:divsChild>
                            <w:div w:id="1520315636">
                              <w:marLeft w:val="0"/>
                              <w:marRight w:val="0"/>
                              <w:marTop w:val="0"/>
                              <w:marBottom w:val="0"/>
                              <w:divBdr>
                                <w:top w:val="none" w:sz="0" w:space="0" w:color="auto"/>
                                <w:left w:val="none" w:sz="0" w:space="0" w:color="auto"/>
                                <w:bottom w:val="none" w:sz="0" w:space="0" w:color="auto"/>
                                <w:right w:val="none" w:sz="0" w:space="0" w:color="auto"/>
                              </w:divBdr>
                              <w:divsChild>
                                <w:div w:id="1535923719">
                                  <w:marLeft w:val="0"/>
                                  <w:marRight w:val="0"/>
                                  <w:marTop w:val="0"/>
                                  <w:marBottom w:val="0"/>
                                  <w:divBdr>
                                    <w:top w:val="none" w:sz="0" w:space="0" w:color="auto"/>
                                    <w:left w:val="none" w:sz="0" w:space="0" w:color="auto"/>
                                    <w:bottom w:val="none" w:sz="0" w:space="0" w:color="auto"/>
                                    <w:right w:val="none" w:sz="0" w:space="0" w:color="auto"/>
                                  </w:divBdr>
                                  <w:divsChild>
                                    <w:div w:id="1125738766">
                                      <w:marLeft w:val="0"/>
                                      <w:marRight w:val="0"/>
                                      <w:marTop w:val="0"/>
                                      <w:marBottom w:val="0"/>
                                      <w:divBdr>
                                        <w:top w:val="none" w:sz="0" w:space="0" w:color="auto"/>
                                        <w:left w:val="none" w:sz="0" w:space="0" w:color="auto"/>
                                        <w:bottom w:val="none" w:sz="0" w:space="0" w:color="auto"/>
                                        <w:right w:val="none" w:sz="0" w:space="0" w:color="auto"/>
                                      </w:divBdr>
                                      <w:divsChild>
                                        <w:div w:id="1662386767">
                                          <w:marLeft w:val="0"/>
                                          <w:marRight w:val="0"/>
                                          <w:marTop w:val="0"/>
                                          <w:marBottom w:val="0"/>
                                          <w:divBdr>
                                            <w:top w:val="none" w:sz="0" w:space="0" w:color="auto"/>
                                            <w:left w:val="none" w:sz="0" w:space="0" w:color="auto"/>
                                            <w:bottom w:val="none" w:sz="0" w:space="0" w:color="auto"/>
                                            <w:right w:val="none" w:sz="0" w:space="0" w:color="auto"/>
                                          </w:divBdr>
                                          <w:divsChild>
                                            <w:div w:id="980961247">
                                              <w:marLeft w:val="0"/>
                                              <w:marRight w:val="0"/>
                                              <w:marTop w:val="0"/>
                                              <w:marBottom w:val="0"/>
                                              <w:divBdr>
                                                <w:top w:val="none" w:sz="0" w:space="0" w:color="auto"/>
                                                <w:left w:val="none" w:sz="0" w:space="0" w:color="auto"/>
                                                <w:bottom w:val="none" w:sz="0" w:space="0" w:color="auto"/>
                                                <w:right w:val="none" w:sz="0" w:space="0" w:color="auto"/>
                                              </w:divBdr>
                                            </w:div>
                                          </w:divsChild>
                                        </w:div>
                                        <w:div w:id="4855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07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lexicon.ft.com/term.asp?t=Federal-Reserve-System-(Fed)"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Leeds School of Business</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Leeds School of Business</dc:creator>
  <cp:lastModifiedBy>palmerm</cp:lastModifiedBy>
  <cp:revision>3</cp:revision>
  <dcterms:created xsi:type="dcterms:W3CDTF">2011-01-19T21:43:00Z</dcterms:created>
  <dcterms:modified xsi:type="dcterms:W3CDTF">2011-01-19T21:45:00Z</dcterms:modified>
</cp:coreProperties>
</file>