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7E2" w:rsidRPr="00890622" w:rsidRDefault="00637ABE" w:rsidP="00FE5C78">
      <w:pPr>
        <w:jc w:val="center"/>
        <w:rPr>
          <w:b/>
          <w:sz w:val="22"/>
          <w:szCs w:val="22"/>
        </w:rPr>
      </w:pPr>
      <w:r w:rsidRPr="00890622">
        <w:rPr>
          <w:b/>
          <w:sz w:val="22"/>
          <w:szCs w:val="22"/>
        </w:rPr>
        <w:t xml:space="preserve">Chapter </w:t>
      </w:r>
      <w:r w:rsidR="00106634" w:rsidRPr="00890622">
        <w:rPr>
          <w:b/>
          <w:sz w:val="22"/>
          <w:szCs w:val="22"/>
        </w:rPr>
        <w:t>5</w:t>
      </w:r>
      <w:r w:rsidRPr="00890622">
        <w:rPr>
          <w:b/>
          <w:sz w:val="22"/>
          <w:szCs w:val="22"/>
        </w:rPr>
        <w:t xml:space="preserve"> </w:t>
      </w:r>
      <w:r w:rsidR="00CA4B69" w:rsidRPr="00890622">
        <w:rPr>
          <w:b/>
          <w:sz w:val="22"/>
          <w:szCs w:val="22"/>
        </w:rPr>
        <w:t>–</w:t>
      </w:r>
      <w:r w:rsidRPr="00890622">
        <w:rPr>
          <w:b/>
          <w:sz w:val="22"/>
          <w:szCs w:val="22"/>
        </w:rPr>
        <w:t xml:space="preserve"> </w:t>
      </w:r>
      <w:r w:rsidR="00106634" w:rsidRPr="00890622">
        <w:rPr>
          <w:b/>
          <w:sz w:val="22"/>
          <w:szCs w:val="22"/>
        </w:rPr>
        <w:t>Factors Affecting Bond Yields and The Term Structure Of Interest Rates</w:t>
      </w:r>
    </w:p>
    <w:p w:rsidR="00106634" w:rsidRPr="00890622" w:rsidRDefault="00106634" w:rsidP="00106634">
      <w:pPr>
        <w:rPr>
          <w:sz w:val="22"/>
          <w:szCs w:val="22"/>
        </w:rPr>
      </w:pPr>
    </w:p>
    <w:p w:rsidR="00106634" w:rsidRPr="00890622" w:rsidRDefault="00106634" w:rsidP="00DD2358">
      <w:pPr>
        <w:pStyle w:val="ListParagraph"/>
        <w:numPr>
          <w:ilvl w:val="0"/>
          <w:numId w:val="4"/>
        </w:numPr>
        <w:autoSpaceDE w:val="0"/>
        <w:autoSpaceDN w:val="0"/>
        <w:adjustRightInd w:val="0"/>
        <w:rPr>
          <w:b/>
          <w:sz w:val="22"/>
          <w:szCs w:val="22"/>
        </w:rPr>
      </w:pPr>
      <w:r w:rsidRPr="00890622">
        <w:rPr>
          <w:b/>
          <w:sz w:val="22"/>
          <w:szCs w:val="22"/>
        </w:rPr>
        <w:t>Following are U.S. Treasury benchmarks available on December 31, 2007:</w:t>
      </w:r>
    </w:p>
    <w:p w:rsidR="00106634" w:rsidRPr="00890622" w:rsidRDefault="00106634" w:rsidP="00C85AFF">
      <w:pPr>
        <w:autoSpaceDE w:val="0"/>
        <w:autoSpaceDN w:val="0"/>
        <w:adjustRightInd w:val="0"/>
        <w:ind w:left="360"/>
        <w:rPr>
          <w:b/>
          <w:sz w:val="22"/>
          <w:szCs w:val="22"/>
        </w:rPr>
      </w:pPr>
      <w:r w:rsidRPr="00890622">
        <w:rPr>
          <w:b/>
          <w:sz w:val="22"/>
          <w:szCs w:val="22"/>
        </w:rPr>
        <w:t>US/T 3.125 11/30/2009</w:t>
      </w:r>
      <w:r w:rsidRPr="00890622">
        <w:rPr>
          <w:b/>
          <w:sz w:val="22"/>
          <w:szCs w:val="22"/>
        </w:rPr>
        <w:tab/>
        <w:t>3.133</w:t>
      </w:r>
    </w:p>
    <w:p w:rsidR="00106634" w:rsidRPr="00890622" w:rsidRDefault="00106634" w:rsidP="00C85AFF">
      <w:pPr>
        <w:autoSpaceDE w:val="0"/>
        <w:autoSpaceDN w:val="0"/>
        <w:adjustRightInd w:val="0"/>
        <w:ind w:left="360"/>
        <w:rPr>
          <w:b/>
          <w:sz w:val="22"/>
          <w:szCs w:val="22"/>
        </w:rPr>
      </w:pPr>
      <w:r w:rsidRPr="00890622">
        <w:rPr>
          <w:b/>
          <w:sz w:val="22"/>
          <w:szCs w:val="22"/>
        </w:rPr>
        <w:t>US/T 3.375 11/30/2012</w:t>
      </w:r>
      <w:r w:rsidRPr="00890622">
        <w:rPr>
          <w:b/>
          <w:sz w:val="22"/>
          <w:szCs w:val="22"/>
        </w:rPr>
        <w:tab/>
        <w:t>3.507</w:t>
      </w:r>
    </w:p>
    <w:p w:rsidR="00106634" w:rsidRPr="00890622" w:rsidRDefault="00106634" w:rsidP="00C85AFF">
      <w:pPr>
        <w:autoSpaceDE w:val="0"/>
        <w:autoSpaceDN w:val="0"/>
        <w:adjustRightInd w:val="0"/>
        <w:ind w:left="360"/>
        <w:rPr>
          <w:b/>
          <w:sz w:val="22"/>
          <w:szCs w:val="22"/>
        </w:rPr>
      </w:pPr>
      <w:r w:rsidRPr="00890622">
        <w:rPr>
          <w:b/>
          <w:sz w:val="22"/>
          <w:szCs w:val="22"/>
        </w:rPr>
        <w:t>US/T 4.25 11/15/2017</w:t>
      </w:r>
      <w:r w:rsidRPr="00890622">
        <w:rPr>
          <w:b/>
          <w:sz w:val="22"/>
          <w:szCs w:val="22"/>
        </w:rPr>
        <w:tab/>
        <w:t>4.096</w:t>
      </w:r>
    </w:p>
    <w:p w:rsidR="00106634" w:rsidRPr="00890622" w:rsidRDefault="00106634" w:rsidP="00C85AFF">
      <w:pPr>
        <w:autoSpaceDE w:val="0"/>
        <w:autoSpaceDN w:val="0"/>
        <w:adjustRightInd w:val="0"/>
        <w:ind w:left="360"/>
        <w:rPr>
          <w:b/>
          <w:sz w:val="22"/>
          <w:szCs w:val="22"/>
        </w:rPr>
      </w:pPr>
      <w:r w:rsidRPr="00890622">
        <w:rPr>
          <w:b/>
          <w:sz w:val="22"/>
          <w:szCs w:val="22"/>
        </w:rPr>
        <w:t>US/T 4.75 02/15/2037</w:t>
      </w:r>
      <w:r w:rsidRPr="00890622">
        <w:rPr>
          <w:b/>
          <w:sz w:val="22"/>
          <w:szCs w:val="22"/>
        </w:rPr>
        <w:tab/>
        <w:t>4.518</w:t>
      </w:r>
    </w:p>
    <w:p w:rsidR="00106634" w:rsidRPr="00890622" w:rsidRDefault="00106634" w:rsidP="00106634">
      <w:pPr>
        <w:autoSpaceDE w:val="0"/>
        <w:autoSpaceDN w:val="0"/>
        <w:adjustRightInd w:val="0"/>
        <w:rPr>
          <w:b/>
          <w:sz w:val="22"/>
          <w:szCs w:val="22"/>
        </w:rPr>
      </w:pPr>
    </w:p>
    <w:p w:rsidR="00106634" w:rsidRPr="00890622" w:rsidRDefault="00106634" w:rsidP="00C85AFF">
      <w:pPr>
        <w:autoSpaceDE w:val="0"/>
        <w:autoSpaceDN w:val="0"/>
        <w:adjustRightInd w:val="0"/>
        <w:ind w:left="360"/>
        <w:rPr>
          <w:b/>
          <w:sz w:val="22"/>
          <w:szCs w:val="22"/>
        </w:rPr>
      </w:pPr>
      <w:r w:rsidRPr="00890622">
        <w:rPr>
          <w:b/>
          <w:sz w:val="22"/>
          <w:szCs w:val="22"/>
        </w:rPr>
        <w:t>On the same day, the following trades were executed:</w:t>
      </w:r>
    </w:p>
    <w:p w:rsidR="00106634" w:rsidRPr="00890622" w:rsidRDefault="00106634" w:rsidP="00C85AFF">
      <w:pPr>
        <w:autoSpaceDE w:val="0"/>
        <w:autoSpaceDN w:val="0"/>
        <w:adjustRightInd w:val="0"/>
        <w:ind w:left="360"/>
        <w:rPr>
          <w:b/>
          <w:sz w:val="22"/>
          <w:szCs w:val="22"/>
        </w:rPr>
      </w:pPr>
    </w:p>
    <w:tbl>
      <w:tblPr>
        <w:tblW w:w="4406" w:type="pct"/>
        <w:tblInd w:w="360" w:type="dxa"/>
        <w:tblCellMar>
          <w:left w:w="0" w:type="dxa"/>
          <w:right w:w="0" w:type="dxa"/>
        </w:tblCellMar>
        <w:tblLook w:val="00A0" w:firstRow="1" w:lastRow="0" w:firstColumn="1" w:lastColumn="0" w:noHBand="0" w:noVBand="0"/>
      </w:tblPr>
      <w:tblGrid>
        <w:gridCol w:w="3766"/>
        <w:gridCol w:w="3205"/>
        <w:gridCol w:w="1911"/>
      </w:tblGrid>
      <w:tr w:rsidR="00106634" w:rsidRPr="00890622" w:rsidTr="00C85AFF">
        <w:tc>
          <w:tcPr>
            <w:tcW w:w="2120" w:type="pct"/>
            <w:tcBorders>
              <w:bottom w:val="single" w:sz="4" w:space="0" w:color="auto"/>
            </w:tcBorders>
          </w:tcPr>
          <w:p w:rsidR="00106634" w:rsidRPr="00890622" w:rsidRDefault="00106634" w:rsidP="00325CD7">
            <w:pPr>
              <w:autoSpaceDE w:val="0"/>
              <w:autoSpaceDN w:val="0"/>
              <w:adjustRightInd w:val="0"/>
              <w:jc w:val="center"/>
              <w:rPr>
                <w:b/>
                <w:sz w:val="22"/>
                <w:szCs w:val="22"/>
              </w:rPr>
            </w:pPr>
            <w:r w:rsidRPr="00890622">
              <w:rPr>
                <w:b/>
                <w:bCs/>
                <w:sz w:val="22"/>
                <w:szCs w:val="22"/>
              </w:rPr>
              <w:t>Issuer</w:t>
            </w:r>
          </w:p>
        </w:tc>
        <w:tc>
          <w:tcPr>
            <w:tcW w:w="1804" w:type="pct"/>
            <w:tcBorders>
              <w:bottom w:val="single" w:sz="4" w:space="0" w:color="auto"/>
            </w:tcBorders>
          </w:tcPr>
          <w:p w:rsidR="00106634" w:rsidRPr="00890622" w:rsidRDefault="00106634" w:rsidP="00325CD7">
            <w:pPr>
              <w:autoSpaceDE w:val="0"/>
              <w:autoSpaceDN w:val="0"/>
              <w:adjustRightInd w:val="0"/>
              <w:jc w:val="center"/>
              <w:rPr>
                <w:b/>
                <w:sz w:val="22"/>
                <w:szCs w:val="22"/>
              </w:rPr>
            </w:pPr>
            <w:r w:rsidRPr="00890622">
              <w:rPr>
                <w:b/>
                <w:bCs/>
                <w:sz w:val="22"/>
                <w:szCs w:val="22"/>
              </w:rPr>
              <w:t>Issue</w:t>
            </w:r>
          </w:p>
        </w:tc>
        <w:tc>
          <w:tcPr>
            <w:tcW w:w="1076" w:type="pct"/>
            <w:tcBorders>
              <w:bottom w:val="single" w:sz="4" w:space="0" w:color="auto"/>
            </w:tcBorders>
          </w:tcPr>
          <w:p w:rsidR="00106634" w:rsidRPr="00890622" w:rsidRDefault="00106634" w:rsidP="00325CD7">
            <w:pPr>
              <w:autoSpaceDE w:val="0"/>
              <w:autoSpaceDN w:val="0"/>
              <w:adjustRightInd w:val="0"/>
              <w:jc w:val="center"/>
              <w:rPr>
                <w:b/>
                <w:sz w:val="22"/>
                <w:szCs w:val="22"/>
              </w:rPr>
            </w:pPr>
            <w:r w:rsidRPr="00890622">
              <w:rPr>
                <w:b/>
                <w:bCs/>
                <w:sz w:val="22"/>
                <w:szCs w:val="22"/>
              </w:rPr>
              <w:t>Yield (%)</w:t>
            </w:r>
          </w:p>
        </w:tc>
      </w:tr>
      <w:tr w:rsidR="00106634" w:rsidRPr="00890622" w:rsidTr="00C85AFF">
        <w:tc>
          <w:tcPr>
            <w:tcW w:w="2120" w:type="pct"/>
            <w:tcBorders>
              <w:top w:val="single" w:sz="4" w:space="0" w:color="auto"/>
            </w:tcBorders>
          </w:tcPr>
          <w:p w:rsidR="00106634" w:rsidRPr="00890622" w:rsidRDefault="00106634" w:rsidP="00325CD7">
            <w:pPr>
              <w:autoSpaceDE w:val="0"/>
              <w:autoSpaceDN w:val="0"/>
              <w:adjustRightInd w:val="0"/>
              <w:ind w:left="576"/>
              <w:jc w:val="center"/>
              <w:rPr>
                <w:b/>
                <w:sz w:val="22"/>
                <w:szCs w:val="22"/>
              </w:rPr>
            </w:pPr>
            <w:r w:rsidRPr="00890622">
              <w:rPr>
                <w:b/>
                <w:sz w:val="22"/>
                <w:szCs w:val="22"/>
              </w:rPr>
              <w:t>Time Warner Cable Inc.</w:t>
            </w:r>
          </w:p>
        </w:tc>
        <w:tc>
          <w:tcPr>
            <w:tcW w:w="1804" w:type="pct"/>
            <w:tcBorders>
              <w:top w:val="single" w:sz="4" w:space="0" w:color="auto"/>
            </w:tcBorders>
          </w:tcPr>
          <w:p w:rsidR="00106634" w:rsidRPr="00890622" w:rsidRDefault="00106634" w:rsidP="00325CD7">
            <w:pPr>
              <w:autoSpaceDE w:val="0"/>
              <w:autoSpaceDN w:val="0"/>
              <w:adjustRightInd w:val="0"/>
              <w:ind w:left="576"/>
              <w:jc w:val="center"/>
              <w:rPr>
                <w:b/>
                <w:sz w:val="22"/>
                <w:szCs w:val="22"/>
              </w:rPr>
            </w:pPr>
            <w:r w:rsidRPr="00890622">
              <w:rPr>
                <w:b/>
                <w:sz w:val="22"/>
                <w:szCs w:val="22"/>
              </w:rPr>
              <w:t xml:space="preserve">TWC </w:t>
            </w:r>
            <w:r w:rsidR="00C85AFF" w:rsidRPr="00890622">
              <w:rPr>
                <w:b/>
                <w:sz w:val="22"/>
                <w:szCs w:val="22"/>
              </w:rPr>
              <w:t xml:space="preserve"> </w:t>
            </w:r>
            <w:r w:rsidRPr="00890622">
              <w:rPr>
                <w:b/>
                <w:sz w:val="22"/>
                <w:szCs w:val="22"/>
              </w:rPr>
              <w:t>6.55 05/01/2037</w:t>
            </w:r>
          </w:p>
        </w:tc>
        <w:tc>
          <w:tcPr>
            <w:tcW w:w="1076" w:type="pct"/>
            <w:tcBorders>
              <w:top w:val="single" w:sz="4" w:space="0" w:color="auto"/>
            </w:tcBorders>
          </w:tcPr>
          <w:p w:rsidR="00106634" w:rsidRPr="00890622" w:rsidRDefault="00106634" w:rsidP="00325CD7">
            <w:pPr>
              <w:autoSpaceDE w:val="0"/>
              <w:autoSpaceDN w:val="0"/>
              <w:adjustRightInd w:val="0"/>
              <w:jc w:val="center"/>
              <w:rPr>
                <w:b/>
                <w:sz w:val="22"/>
                <w:szCs w:val="22"/>
              </w:rPr>
            </w:pPr>
            <w:r w:rsidRPr="00890622">
              <w:rPr>
                <w:b/>
                <w:sz w:val="22"/>
                <w:szCs w:val="22"/>
              </w:rPr>
              <w:t>6.373</w:t>
            </w:r>
          </w:p>
        </w:tc>
      </w:tr>
      <w:tr w:rsidR="00106634" w:rsidRPr="00890622" w:rsidTr="00C85AFF">
        <w:tc>
          <w:tcPr>
            <w:tcW w:w="2120" w:type="pct"/>
          </w:tcPr>
          <w:p w:rsidR="00106634" w:rsidRPr="00890622" w:rsidRDefault="00106634" w:rsidP="00325CD7">
            <w:pPr>
              <w:autoSpaceDE w:val="0"/>
              <w:autoSpaceDN w:val="0"/>
              <w:adjustRightInd w:val="0"/>
              <w:ind w:left="576"/>
              <w:jc w:val="center"/>
              <w:rPr>
                <w:b/>
                <w:sz w:val="22"/>
                <w:szCs w:val="22"/>
              </w:rPr>
            </w:pPr>
            <w:r w:rsidRPr="00890622">
              <w:rPr>
                <w:b/>
                <w:sz w:val="22"/>
                <w:szCs w:val="22"/>
              </w:rPr>
              <w:t>McCormick &amp; Co. Inc.</w:t>
            </w:r>
          </w:p>
        </w:tc>
        <w:tc>
          <w:tcPr>
            <w:tcW w:w="1804" w:type="pct"/>
          </w:tcPr>
          <w:p w:rsidR="00106634" w:rsidRPr="00890622" w:rsidRDefault="00106634" w:rsidP="00325CD7">
            <w:pPr>
              <w:autoSpaceDE w:val="0"/>
              <w:autoSpaceDN w:val="0"/>
              <w:adjustRightInd w:val="0"/>
              <w:ind w:left="576"/>
              <w:jc w:val="center"/>
              <w:rPr>
                <w:b/>
                <w:sz w:val="22"/>
                <w:szCs w:val="22"/>
              </w:rPr>
            </w:pPr>
            <w:r w:rsidRPr="00890622">
              <w:rPr>
                <w:b/>
                <w:sz w:val="22"/>
                <w:szCs w:val="22"/>
              </w:rPr>
              <w:t xml:space="preserve">MKC </w:t>
            </w:r>
            <w:r w:rsidR="00C85AFF" w:rsidRPr="00890622">
              <w:rPr>
                <w:b/>
                <w:sz w:val="22"/>
                <w:szCs w:val="22"/>
              </w:rPr>
              <w:t xml:space="preserve"> </w:t>
            </w:r>
            <w:r w:rsidRPr="00890622">
              <w:rPr>
                <w:b/>
                <w:sz w:val="22"/>
                <w:szCs w:val="22"/>
              </w:rPr>
              <w:t>5.75 12/15/2017</w:t>
            </w:r>
          </w:p>
        </w:tc>
        <w:tc>
          <w:tcPr>
            <w:tcW w:w="1076" w:type="pct"/>
          </w:tcPr>
          <w:p w:rsidR="00106634" w:rsidRPr="00890622" w:rsidRDefault="00106634" w:rsidP="00325CD7">
            <w:pPr>
              <w:autoSpaceDE w:val="0"/>
              <w:autoSpaceDN w:val="0"/>
              <w:adjustRightInd w:val="0"/>
              <w:jc w:val="center"/>
              <w:rPr>
                <w:b/>
                <w:sz w:val="22"/>
                <w:szCs w:val="22"/>
              </w:rPr>
            </w:pPr>
            <w:r w:rsidRPr="00890622">
              <w:rPr>
                <w:b/>
                <w:sz w:val="22"/>
                <w:szCs w:val="22"/>
              </w:rPr>
              <w:t>5.685</w:t>
            </w:r>
          </w:p>
        </w:tc>
      </w:tr>
      <w:tr w:rsidR="00106634" w:rsidRPr="00890622" w:rsidTr="00C85AFF">
        <w:tc>
          <w:tcPr>
            <w:tcW w:w="2120" w:type="pct"/>
          </w:tcPr>
          <w:p w:rsidR="00106634" w:rsidRPr="00890622" w:rsidRDefault="00106634" w:rsidP="00325CD7">
            <w:pPr>
              <w:autoSpaceDE w:val="0"/>
              <w:autoSpaceDN w:val="0"/>
              <w:adjustRightInd w:val="0"/>
              <w:ind w:left="576"/>
              <w:jc w:val="center"/>
              <w:rPr>
                <w:b/>
                <w:sz w:val="22"/>
                <w:szCs w:val="22"/>
              </w:rPr>
            </w:pPr>
            <w:r w:rsidRPr="00890622">
              <w:rPr>
                <w:b/>
                <w:sz w:val="22"/>
                <w:szCs w:val="22"/>
              </w:rPr>
              <w:t>Goldman Sachs Group Inc.</w:t>
            </w:r>
          </w:p>
        </w:tc>
        <w:tc>
          <w:tcPr>
            <w:tcW w:w="1804" w:type="pct"/>
          </w:tcPr>
          <w:p w:rsidR="00106634" w:rsidRPr="00890622" w:rsidRDefault="00106634" w:rsidP="00325CD7">
            <w:pPr>
              <w:autoSpaceDE w:val="0"/>
              <w:autoSpaceDN w:val="0"/>
              <w:adjustRightInd w:val="0"/>
              <w:ind w:left="576"/>
              <w:jc w:val="center"/>
              <w:rPr>
                <w:b/>
                <w:sz w:val="22"/>
                <w:szCs w:val="22"/>
              </w:rPr>
            </w:pPr>
            <w:r w:rsidRPr="00890622">
              <w:rPr>
                <w:b/>
                <w:sz w:val="22"/>
                <w:szCs w:val="22"/>
              </w:rPr>
              <w:t xml:space="preserve">GS     </w:t>
            </w:r>
            <w:r w:rsidR="00C85AFF" w:rsidRPr="00890622">
              <w:rPr>
                <w:b/>
                <w:sz w:val="22"/>
                <w:szCs w:val="22"/>
              </w:rPr>
              <w:t xml:space="preserve"> </w:t>
            </w:r>
            <w:r w:rsidRPr="00890622">
              <w:rPr>
                <w:b/>
                <w:sz w:val="22"/>
                <w:szCs w:val="22"/>
              </w:rPr>
              <w:t>5.45 11/01/2012</w:t>
            </w:r>
          </w:p>
        </w:tc>
        <w:tc>
          <w:tcPr>
            <w:tcW w:w="1076" w:type="pct"/>
          </w:tcPr>
          <w:p w:rsidR="00106634" w:rsidRPr="00890622" w:rsidRDefault="00106634" w:rsidP="00325CD7">
            <w:pPr>
              <w:autoSpaceDE w:val="0"/>
              <w:autoSpaceDN w:val="0"/>
              <w:adjustRightInd w:val="0"/>
              <w:jc w:val="center"/>
              <w:rPr>
                <w:b/>
                <w:sz w:val="22"/>
                <w:szCs w:val="22"/>
              </w:rPr>
            </w:pPr>
            <w:r w:rsidRPr="00890622">
              <w:rPr>
                <w:b/>
                <w:sz w:val="22"/>
                <w:szCs w:val="22"/>
              </w:rPr>
              <w:t>4.773</w:t>
            </w:r>
          </w:p>
        </w:tc>
      </w:tr>
    </w:tbl>
    <w:p w:rsidR="00106634" w:rsidRPr="00890622" w:rsidRDefault="00106634" w:rsidP="00C85AFF">
      <w:pPr>
        <w:autoSpaceDE w:val="0"/>
        <w:autoSpaceDN w:val="0"/>
        <w:adjustRightInd w:val="0"/>
        <w:ind w:left="360"/>
        <w:rPr>
          <w:b/>
          <w:bCs/>
          <w:sz w:val="22"/>
          <w:szCs w:val="22"/>
        </w:rPr>
      </w:pPr>
    </w:p>
    <w:p w:rsidR="00106634" w:rsidRPr="00890622" w:rsidRDefault="00106634" w:rsidP="00C85AFF">
      <w:pPr>
        <w:autoSpaceDE w:val="0"/>
        <w:autoSpaceDN w:val="0"/>
        <w:adjustRightInd w:val="0"/>
        <w:ind w:left="360"/>
        <w:rPr>
          <w:b/>
          <w:sz w:val="22"/>
          <w:szCs w:val="22"/>
        </w:rPr>
      </w:pPr>
      <w:r w:rsidRPr="00890622">
        <w:rPr>
          <w:b/>
          <w:sz w:val="22"/>
          <w:szCs w:val="22"/>
        </w:rPr>
        <w:t>Based on the above, complete the following table:</w:t>
      </w:r>
    </w:p>
    <w:p w:rsidR="00106634" w:rsidRPr="00890622" w:rsidRDefault="00106634" w:rsidP="00C85AFF">
      <w:pPr>
        <w:autoSpaceDE w:val="0"/>
        <w:autoSpaceDN w:val="0"/>
        <w:adjustRightInd w:val="0"/>
        <w:ind w:left="360"/>
        <w:rPr>
          <w:b/>
          <w:sz w:val="22"/>
          <w:szCs w:val="22"/>
        </w:rPr>
      </w:pPr>
    </w:p>
    <w:tbl>
      <w:tblPr>
        <w:tblW w:w="5000" w:type="pct"/>
        <w:jc w:val="center"/>
        <w:tblCellMar>
          <w:left w:w="0" w:type="dxa"/>
          <w:right w:w="0" w:type="dxa"/>
        </w:tblCellMar>
        <w:tblLook w:val="00A0" w:firstRow="1" w:lastRow="0" w:firstColumn="1" w:lastColumn="0" w:noHBand="0" w:noVBand="0"/>
      </w:tblPr>
      <w:tblGrid>
        <w:gridCol w:w="2674"/>
        <w:gridCol w:w="850"/>
        <w:gridCol w:w="1706"/>
        <w:gridCol w:w="1895"/>
        <w:gridCol w:w="1800"/>
        <w:gridCol w:w="1155"/>
      </w:tblGrid>
      <w:tr w:rsidR="00106634" w:rsidRPr="00890622" w:rsidTr="00C85AFF">
        <w:trPr>
          <w:jc w:val="center"/>
        </w:trPr>
        <w:tc>
          <w:tcPr>
            <w:tcW w:w="1326" w:type="pct"/>
            <w:tcBorders>
              <w:bottom w:val="single" w:sz="4" w:space="0" w:color="auto"/>
            </w:tcBorders>
          </w:tcPr>
          <w:p w:rsidR="00106634" w:rsidRPr="00890622" w:rsidRDefault="00106634" w:rsidP="00966AB1">
            <w:pPr>
              <w:autoSpaceDE w:val="0"/>
              <w:autoSpaceDN w:val="0"/>
              <w:adjustRightInd w:val="0"/>
              <w:jc w:val="center"/>
              <w:rPr>
                <w:b/>
                <w:sz w:val="22"/>
                <w:szCs w:val="22"/>
              </w:rPr>
            </w:pPr>
            <w:r w:rsidRPr="00890622">
              <w:rPr>
                <w:b/>
                <w:bCs/>
                <w:sz w:val="22"/>
                <w:szCs w:val="22"/>
              </w:rPr>
              <w:t>Issue</w:t>
            </w:r>
          </w:p>
        </w:tc>
        <w:tc>
          <w:tcPr>
            <w:tcW w:w="421" w:type="pct"/>
            <w:tcBorders>
              <w:bottom w:val="single" w:sz="4" w:space="0" w:color="auto"/>
            </w:tcBorders>
          </w:tcPr>
          <w:p w:rsidR="00106634" w:rsidRPr="00890622" w:rsidRDefault="00106634" w:rsidP="00966AB1">
            <w:pPr>
              <w:autoSpaceDE w:val="0"/>
              <w:autoSpaceDN w:val="0"/>
              <w:adjustRightInd w:val="0"/>
              <w:jc w:val="center"/>
              <w:rPr>
                <w:b/>
                <w:sz w:val="22"/>
                <w:szCs w:val="22"/>
              </w:rPr>
            </w:pPr>
            <w:r w:rsidRPr="00890622">
              <w:rPr>
                <w:b/>
                <w:bCs/>
                <w:sz w:val="22"/>
                <w:szCs w:val="22"/>
              </w:rPr>
              <w:t>Yield (%)</w:t>
            </w:r>
          </w:p>
        </w:tc>
        <w:tc>
          <w:tcPr>
            <w:tcW w:w="846" w:type="pct"/>
            <w:tcBorders>
              <w:bottom w:val="single" w:sz="4" w:space="0" w:color="auto"/>
            </w:tcBorders>
          </w:tcPr>
          <w:p w:rsidR="00106634" w:rsidRPr="00890622" w:rsidRDefault="00106634" w:rsidP="00966AB1">
            <w:pPr>
              <w:autoSpaceDE w:val="0"/>
              <w:autoSpaceDN w:val="0"/>
              <w:adjustRightInd w:val="0"/>
              <w:jc w:val="center"/>
              <w:rPr>
                <w:b/>
                <w:sz w:val="22"/>
                <w:szCs w:val="22"/>
              </w:rPr>
            </w:pPr>
            <w:r w:rsidRPr="00890622">
              <w:rPr>
                <w:b/>
                <w:bCs/>
                <w:sz w:val="22"/>
                <w:szCs w:val="22"/>
              </w:rPr>
              <w:t>Treasury Benchmark</w:t>
            </w:r>
          </w:p>
        </w:tc>
        <w:tc>
          <w:tcPr>
            <w:tcW w:w="940" w:type="pct"/>
            <w:tcBorders>
              <w:bottom w:val="single" w:sz="4" w:space="0" w:color="auto"/>
            </w:tcBorders>
          </w:tcPr>
          <w:p w:rsidR="00106634" w:rsidRPr="00890622" w:rsidRDefault="00106634" w:rsidP="00966AB1">
            <w:pPr>
              <w:autoSpaceDE w:val="0"/>
              <w:autoSpaceDN w:val="0"/>
              <w:adjustRightInd w:val="0"/>
              <w:jc w:val="center"/>
              <w:rPr>
                <w:b/>
                <w:bCs/>
                <w:sz w:val="22"/>
                <w:szCs w:val="22"/>
              </w:rPr>
            </w:pPr>
            <w:r w:rsidRPr="00890622">
              <w:rPr>
                <w:b/>
                <w:bCs/>
                <w:sz w:val="22"/>
                <w:szCs w:val="22"/>
              </w:rPr>
              <w:t>Benchmark</w:t>
            </w:r>
          </w:p>
          <w:p w:rsidR="00106634" w:rsidRPr="00890622" w:rsidRDefault="00106634" w:rsidP="00966AB1">
            <w:pPr>
              <w:autoSpaceDE w:val="0"/>
              <w:autoSpaceDN w:val="0"/>
              <w:adjustRightInd w:val="0"/>
              <w:jc w:val="center"/>
              <w:rPr>
                <w:b/>
                <w:sz w:val="22"/>
                <w:szCs w:val="22"/>
              </w:rPr>
            </w:pPr>
            <w:r w:rsidRPr="00890622">
              <w:rPr>
                <w:b/>
                <w:bCs/>
                <w:sz w:val="22"/>
                <w:szCs w:val="22"/>
              </w:rPr>
              <w:t>Spread (bps)</w:t>
            </w:r>
          </w:p>
        </w:tc>
        <w:tc>
          <w:tcPr>
            <w:tcW w:w="893" w:type="pct"/>
            <w:tcBorders>
              <w:bottom w:val="single" w:sz="4" w:space="0" w:color="auto"/>
            </w:tcBorders>
          </w:tcPr>
          <w:p w:rsidR="00106634" w:rsidRPr="00890622" w:rsidRDefault="00106634" w:rsidP="00966AB1">
            <w:pPr>
              <w:autoSpaceDE w:val="0"/>
              <w:autoSpaceDN w:val="0"/>
              <w:adjustRightInd w:val="0"/>
              <w:jc w:val="center"/>
              <w:rPr>
                <w:b/>
                <w:bCs/>
                <w:sz w:val="22"/>
                <w:szCs w:val="22"/>
              </w:rPr>
            </w:pPr>
            <w:r w:rsidRPr="00890622">
              <w:rPr>
                <w:b/>
                <w:bCs/>
                <w:sz w:val="22"/>
                <w:szCs w:val="22"/>
              </w:rPr>
              <w:t>Relative Yield</w:t>
            </w:r>
          </w:p>
          <w:p w:rsidR="00106634" w:rsidRPr="00890622" w:rsidRDefault="00106634" w:rsidP="00966AB1">
            <w:pPr>
              <w:autoSpaceDE w:val="0"/>
              <w:autoSpaceDN w:val="0"/>
              <w:adjustRightInd w:val="0"/>
              <w:jc w:val="center"/>
              <w:rPr>
                <w:b/>
                <w:sz w:val="22"/>
                <w:szCs w:val="22"/>
              </w:rPr>
            </w:pPr>
            <w:r w:rsidRPr="00890622">
              <w:rPr>
                <w:b/>
                <w:bCs/>
                <w:sz w:val="22"/>
                <w:szCs w:val="22"/>
              </w:rPr>
              <w:t>Spread</w:t>
            </w:r>
          </w:p>
        </w:tc>
        <w:tc>
          <w:tcPr>
            <w:tcW w:w="573" w:type="pct"/>
            <w:tcBorders>
              <w:bottom w:val="single" w:sz="4" w:space="0" w:color="auto"/>
            </w:tcBorders>
          </w:tcPr>
          <w:p w:rsidR="00106634" w:rsidRPr="00890622" w:rsidRDefault="00106634" w:rsidP="00966AB1">
            <w:pPr>
              <w:autoSpaceDE w:val="0"/>
              <w:autoSpaceDN w:val="0"/>
              <w:adjustRightInd w:val="0"/>
              <w:jc w:val="center"/>
              <w:rPr>
                <w:b/>
                <w:sz w:val="22"/>
                <w:szCs w:val="22"/>
              </w:rPr>
            </w:pPr>
            <w:r w:rsidRPr="00890622">
              <w:rPr>
                <w:b/>
                <w:bCs/>
                <w:sz w:val="22"/>
                <w:szCs w:val="22"/>
              </w:rPr>
              <w:t>Yield Ratio</w:t>
            </w:r>
          </w:p>
        </w:tc>
      </w:tr>
      <w:tr w:rsidR="00106634" w:rsidRPr="00890622" w:rsidTr="00C85AFF">
        <w:trPr>
          <w:jc w:val="center"/>
        </w:trPr>
        <w:tc>
          <w:tcPr>
            <w:tcW w:w="1326" w:type="pct"/>
            <w:tcBorders>
              <w:top w:val="single" w:sz="4" w:space="0" w:color="auto"/>
            </w:tcBorders>
          </w:tcPr>
          <w:p w:rsidR="00106634" w:rsidRPr="00890622" w:rsidRDefault="00106634" w:rsidP="00966AB1">
            <w:pPr>
              <w:autoSpaceDE w:val="0"/>
              <w:autoSpaceDN w:val="0"/>
              <w:adjustRightInd w:val="0"/>
              <w:jc w:val="center"/>
              <w:rPr>
                <w:b/>
                <w:sz w:val="22"/>
                <w:szCs w:val="22"/>
              </w:rPr>
            </w:pPr>
            <w:r w:rsidRPr="00890622">
              <w:rPr>
                <w:b/>
                <w:sz w:val="22"/>
                <w:szCs w:val="22"/>
              </w:rPr>
              <w:t>TWC 6.55 05/01/2037</w:t>
            </w:r>
          </w:p>
        </w:tc>
        <w:tc>
          <w:tcPr>
            <w:tcW w:w="421" w:type="pct"/>
            <w:tcBorders>
              <w:top w:val="single" w:sz="4" w:space="0" w:color="auto"/>
            </w:tcBorders>
          </w:tcPr>
          <w:p w:rsidR="00106634" w:rsidRPr="00890622" w:rsidRDefault="00106634" w:rsidP="00966AB1">
            <w:pPr>
              <w:autoSpaceDE w:val="0"/>
              <w:autoSpaceDN w:val="0"/>
              <w:adjustRightInd w:val="0"/>
              <w:jc w:val="center"/>
              <w:rPr>
                <w:b/>
                <w:sz w:val="22"/>
                <w:szCs w:val="22"/>
              </w:rPr>
            </w:pPr>
            <w:r w:rsidRPr="00890622">
              <w:rPr>
                <w:b/>
                <w:sz w:val="22"/>
                <w:szCs w:val="22"/>
              </w:rPr>
              <w:t>6.373</w:t>
            </w:r>
          </w:p>
        </w:tc>
        <w:tc>
          <w:tcPr>
            <w:tcW w:w="846" w:type="pct"/>
            <w:tcBorders>
              <w:top w:val="single" w:sz="4" w:space="0" w:color="auto"/>
            </w:tcBorders>
          </w:tcPr>
          <w:p w:rsidR="00106634" w:rsidRPr="00890622" w:rsidRDefault="00106634" w:rsidP="00966AB1">
            <w:pPr>
              <w:autoSpaceDE w:val="0"/>
              <w:autoSpaceDN w:val="0"/>
              <w:adjustRightInd w:val="0"/>
              <w:jc w:val="center"/>
              <w:rPr>
                <w:b/>
                <w:sz w:val="22"/>
                <w:szCs w:val="22"/>
              </w:rPr>
            </w:pPr>
          </w:p>
        </w:tc>
        <w:tc>
          <w:tcPr>
            <w:tcW w:w="940" w:type="pct"/>
            <w:tcBorders>
              <w:top w:val="single" w:sz="4" w:space="0" w:color="auto"/>
            </w:tcBorders>
          </w:tcPr>
          <w:p w:rsidR="00106634" w:rsidRPr="00890622" w:rsidRDefault="00106634" w:rsidP="00966AB1">
            <w:pPr>
              <w:autoSpaceDE w:val="0"/>
              <w:autoSpaceDN w:val="0"/>
              <w:adjustRightInd w:val="0"/>
              <w:jc w:val="center"/>
              <w:rPr>
                <w:b/>
                <w:sz w:val="22"/>
                <w:szCs w:val="22"/>
              </w:rPr>
            </w:pPr>
          </w:p>
        </w:tc>
        <w:tc>
          <w:tcPr>
            <w:tcW w:w="893" w:type="pct"/>
            <w:tcBorders>
              <w:top w:val="single" w:sz="4" w:space="0" w:color="auto"/>
            </w:tcBorders>
          </w:tcPr>
          <w:p w:rsidR="00106634" w:rsidRPr="00890622" w:rsidRDefault="00106634" w:rsidP="00966AB1">
            <w:pPr>
              <w:autoSpaceDE w:val="0"/>
              <w:autoSpaceDN w:val="0"/>
              <w:adjustRightInd w:val="0"/>
              <w:jc w:val="center"/>
              <w:rPr>
                <w:b/>
                <w:sz w:val="22"/>
                <w:szCs w:val="22"/>
              </w:rPr>
            </w:pPr>
          </w:p>
        </w:tc>
        <w:tc>
          <w:tcPr>
            <w:tcW w:w="573" w:type="pct"/>
            <w:tcBorders>
              <w:top w:val="single" w:sz="4" w:space="0" w:color="auto"/>
            </w:tcBorders>
          </w:tcPr>
          <w:p w:rsidR="00106634" w:rsidRPr="00890622" w:rsidRDefault="00106634" w:rsidP="00966AB1">
            <w:pPr>
              <w:autoSpaceDE w:val="0"/>
              <w:autoSpaceDN w:val="0"/>
              <w:adjustRightInd w:val="0"/>
              <w:jc w:val="center"/>
              <w:rPr>
                <w:b/>
                <w:sz w:val="22"/>
                <w:szCs w:val="22"/>
              </w:rPr>
            </w:pPr>
          </w:p>
        </w:tc>
      </w:tr>
      <w:tr w:rsidR="00106634" w:rsidRPr="00890622" w:rsidTr="00C85AFF">
        <w:trPr>
          <w:jc w:val="center"/>
        </w:trPr>
        <w:tc>
          <w:tcPr>
            <w:tcW w:w="1326" w:type="pct"/>
          </w:tcPr>
          <w:p w:rsidR="00106634" w:rsidRPr="00890622" w:rsidRDefault="00106634" w:rsidP="00966AB1">
            <w:pPr>
              <w:autoSpaceDE w:val="0"/>
              <w:autoSpaceDN w:val="0"/>
              <w:adjustRightInd w:val="0"/>
              <w:jc w:val="center"/>
              <w:rPr>
                <w:b/>
                <w:sz w:val="22"/>
                <w:szCs w:val="22"/>
              </w:rPr>
            </w:pPr>
            <w:r w:rsidRPr="00890622">
              <w:rPr>
                <w:b/>
                <w:sz w:val="22"/>
                <w:szCs w:val="22"/>
              </w:rPr>
              <w:t>MKC 5.75 12/15/2017</w:t>
            </w:r>
          </w:p>
        </w:tc>
        <w:tc>
          <w:tcPr>
            <w:tcW w:w="421" w:type="pct"/>
          </w:tcPr>
          <w:p w:rsidR="00106634" w:rsidRPr="00890622" w:rsidRDefault="00106634" w:rsidP="00966AB1">
            <w:pPr>
              <w:autoSpaceDE w:val="0"/>
              <w:autoSpaceDN w:val="0"/>
              <w:adjustRightInd w:val="0"/>
              <w:jc w:val="center"/>
              <w:rPr>
                <w:b/>
                <w:sz w:val="22"/>
                <w:szCs w:val="22"/>
              </w:rPr>
            </w:pPr>
            <w:r w:rsidRPr="00890622">
              <w:rPr>
                <w:b/>
                <w:sz w:val="22"/>
                <w:szCs w:val="22"/>
              </w:rPr>
              <w:t>5.685</w:t>
            </w:r>
          </w:p>
        </w:tc>
        <w:tc>
          <w:tcPr>
            <w:tcW w:w="846" w:type="pct"/>
          </w:tcPr>
          <w:p w:rsidR="00106634" w:rsidRPr="00890622" w:rsidRDefault="00106634" w:rsidP="00966AB1">
            <w:pPr>
              <w:autoSpaceDE w:val="0"/>
              <w:autoSpaceDN w:val="0"/>
              <w:adjustRightInd w:val="0"/>
              <w:jc w:val="center"/>
              <w:rPr>
                <w:b/>
                <w:sz w:val="22"/>
                <w:szCs w:val="22"/>
              </w:rPr>
            </w:pPr>
          </w:p>
        </w:tc>
        <w:tc>
          <w:tcPr>
            <w:tcW w:w="940" w:type="pct"/>
          </w:tcPr>
          <w:p w:rsidR="00106634" w:rsidRPr="00890622" w:rsidRDefault="00106634" w:rsidP="00966AB1">
            <w:pPr>
              <w:autoSpaceDE w:val="0"/>
              <w:autoSpaceDN w:val="0"/>
              <w:adjustRightInd w:val="0"/>
              <w:jc w:val="center"/>
              <w:rPr>
                <w:b/>
                <w:sz w:val="22"/>
                <w:szCs w:val="22"/>
              </w:rPr>
            </w:pPr>
          </w:p>
        </w:tc>
        <w:tc>
          <w:tcPr>
            <w:tcW w:w="893" w:type="pct"/>
          </w:tcPr>
          <w:p w:rsidR="00106634" w:rsidRPr="00890622" w:rsidRDefault="00106634" w:rsidP="00966AB1">
            <w:pPr>
              <w:autoSpaceDE w:val="0"/>
              <w:autoSpaceDN w:val="0"/>
              <w:adjustRightInd w:val="0"/>
              <w:jc w:val="center"/>
              <w:rPr>
                <w:b/>
                <w:sz w:val="22"/>
                <w:szCs w:val="22"/>
              </w:rPr>
            </w:pPr>
          </w:p>
        </w:tc>
        <w:tc>
          <w:tcPr>
            <w:tcW w:w="573" w:type="pct"/>
          </w:tcPr>
          <w:p w:rsidR="00106634" w:rsidRPr="00890622" w:rsidRDefault="00106634" w:rsidP="00966AB1">
            <w:pPr>
              <w:autoSpaceDE w:val="0"/>
              <w:autoSpaceDN w:val="0"/>
              <w:adjustRightInd w:val="0"/>
              <w:jc w:val="center"/>
              <w:rPr>
                <w:b/>
                <w:sz w:val="22"/>
                <w:szCs w:val="22"/>
              </w:rPr>
            </w:pPr>
          </w:p>
        </w:tc>
      </w:tr>
      <w:tr w:rsidR="00106634" w:rsidRPr="00890622" w:rsidTr="00C85AFF">
        <w:trPr>
          <w:jc w:val="center"/>
        </w:trPr>
        <w:tc>
          <w:tcPr>
            <w:tcW w:w="1326" w:type="pct"/>
          </w:tcPr>
          <w:p w:rsidR="00106634" w:rsidRPr="00890622" w:rsidRDefault="00106634" w:rsidP="00966AB1">
            <w:pPr>
              <w:autoSpaceDE w:val="0"/>
              <w:autoSpaceDN w:val="0"/>
              <w:adjustRightInd w:val="0"/>
              <w:jc w:val="center"/>
              <w:rPr>
                <w:b/>
                <w:sz w:val="22"/>
                <w:szCs w:val="22"/>
              </w:rPr>
            </w:pPr>
            <w:r w:rsidRPr="00890622">
              <w:rPr>
                <w:b/>
                <w:sz w:val="22"/>
                <w:szCs w:val="22"/>
              </w:rPr>
              <w:t>GS    5.45 11/01/2012</w:t>
            </w:r>
          </w:p>
        </w:tc>
        <w:tc>
          <w:tcPr>
            <w:tcW w:w="421" w:type="pct"/>
          </w:tcPr>
          <w:p w:rsidR="00106634" w:rsidRPr="00890622" w:rsidRDefault="00106634" w:rsidP="00966AB1">
            <w:pPr>
              <w:autoSpaceDE w:val="0"/>
              <w:autoSpaceDN w:val="0"/>
              <w:adjustRightInd w:val="0"/>
              <w:jc w:val="center"/>
              <w:rPr>
                <w:b/>
                <w:sz w:val="22"/>
                <w:szCs w:val="22"/>
              </w:rPr>
            </w:pPr>
            <w:r w:rsidRPr="00890622">
              <w:rPr>
                <w:b/>
                <w:sz w:val="22"/>
                <w:szCs w:val="22"/>
              </w:rPr>
              <w:t>4.773</w:t>
            </w:r>
          </w:p>
        </w:tc>
        <w:tc>
          <w:tcPr>
            <w:tcW w:w="846" w:type="pct"/>
          </w:tcPr>
          <w:p w:rsidR="00106634" w:rsidRPr="00890622" w:rsidRDefault="00106634" w:rsidP="00966AB1">
            <w:pPr>
              <w:autoSpaceDE w:val="0"/>
              <w:autoSpaceDN w:val="0"/>
              <w:adjustRightInd w:val="0"/>
              <w:jc w:val="center"/>
              <w:rPr>
                <w:b/>
                <w:sz w:val="22"/>
                <w:szCs w:val="22"/>
              </w:rPr>
            </w:pPr>
          </w:p>
        </w:tc>
        <w:tc>
          <w:tcPr>
            <w:tcW w:w="940" w:type="pct"/>
          </w:tcPr>
          <w:p w:rsidR="00106634" w:rsidRPr="00890622" w:rsidRDefault="00106634" w:rsidP="00966AB1">
            <w:pPr>
              <w:autoSpaceDE w:val="0"/>
              <w:autoSpaceDN w:val="0"/>
              <w:adjustRightInd w:val="0"/>
              <w:jc w:val="center"/>
              <w:rPr>
                <w:b/>
                <w:sz w:val="22"/>
                <w:szCs w:val="22"/>
              </w:rPr>
            </w:pPr>
          </w:p>
        </w:tc>
        <w:tc>
          <w:tcPr>
            <w:tcW w:w="893" w:type="pct"/>
          </w:tcPr>
          <w:p w:rsidR="00106634" w:rsidRPr="00890622" w:rsidRDefault="00106634" w:rsidP="00966AB1">
            <w:pPr>
              <w:autoSpaceDE w:val="0"/>
              <w:autoSpaceDN w:val="0"/>
              <w:adjustRightInd w:val="0"/>
              <w:jc w:val="center"/>
              <w:rPr>
                <w:b/>
                <w:sz w:val="22"/>
                <w:szCs w:val="22"/>
              </w:rPr>
            </w:pPr>
          </w:p>
        </w:tc>
        <w:tc>
          <w:tcPr>
            <w:tcW w:w="573" w:type="pct"/>
          </w:tcPr>
          <w:p w:rsidR="00106634" w:rsidRPr="00890622" w:rsidRDefault="00106634" w:rsidP="00966AB1">
            <w:pPr>
              <w:autoSpaceDE w:val="0"/>
              <w:autoSpaceDN w:val="0"/>
              <w:adjustRightInd w:val="0"/>
              <w:jc w:val="center"/>
              <w:rPr>
                <w:b/>
                <w:sz w:val="22"/>
                <w:szCs w:val="22"/>
              </w:rPr>
            </w:pPr>
          </w:p>
        </w:tc>
      </w:tr>
    </w:tbl>
    <w:p w:rsidR="00106634" w:rsidRPr="00890622" w:rsidRDefault="00106634" w:rsidP="00C85AFF">
      <w:pPr>
        <w:autoSpaceDE w:val="0"/>
        <w:autoSpaceDN w:val="0"/>
        <w:adjustRightInd w:val="0"/>
        <w:ind w:left="360"/>
        <w:rPr>
          <w:sz w:val="22"/>
          <w:szCs w:val="22"/>
        </w:rPr>
      </w:pPr>
    </w:p>
    <w:p w:rsidR="00C85AFF" w:rsidRPr="00890622" w:rsidRDefault="00C85AFF" w:rsidP="00C85AFF">
      <w:pPr>
        <w:widowControl w:val="0"/>
        <w:autoSpaceDE w:val="0"/>
        <w:autoSpaceDN w:val="0"/>
        <w:adjustRightInd w:val="0"/>
        <w:ind w:left="360"/>
        <w:rPr>
          <w:sz w:val="22"/>
          <w:szCs w:val="22"/>
        </w:rPr>
      </w:pPr>
      <w:r w:rsidRPr="00890622">
        <w:rPr>
          <w:sz w:val="22"/>
          <w:szCs w:val="22"/>
        </w:rPr>
        <w:t>Benchmark Spread:</w:t>
      </w:r>
    </w:p>
    <w:p w:rsidR="00106634" w:rsidRPr="00890622" w:rsidRDefault="00106634" w:rsidP="00C85AFF">
      <w:pPr>
        <w:widowControl w:val="0"/>
        <w:autoSpaceDE w:val="0"/>
        <w:autoSpaceDN w:val="0"/>
        <w:adjustRightInd w:val="0"/>
        <w:ind w:left="360"/>
        <w:rPr>
          <w:sz w:val="22"/>
          <w:szCs w:val="22"/>
        </w:rPr>
      </w:pPr>
      <w:r w:rsidRPr="00890622">
        <w:rPr>
          <w:sz w:val="22"/>
          <w:szCs w:val="22"/>
        </w:rPr>
        <w:t>TWC: 6.373% – 4.518% = 1.855%</w:t>
      </w:r>
    </w:p>
    <w:p w:rsidR="00106634" w:rsidRPr="00890622" w:rsidRDefault="00106634" w:rsidP="00C85AFF">
      <w:pPr>
        <w:widowControl w:val="0"/>
        <w:autoSpaceDE w:val="0"/>
        <w:autoSpaceDN w:val="0"/>
        <w:adjustRightInd w:val="0"/>
        <w:ind w:left="360"/>
        <w:rPr>
          <w:sz w:val="22"/>
          <w:szCs w:val="22"/>
        </w:rPr>
      </w:pPr>
      <w:r w:rsidRPr="00890622">
        <w:rPr>
          <w:sz w:val="22"/>
          <w:szCs w:val="22"/>
        </w:rPr>
        <w:t>MKC: 5.685% – 4.096% = 1.589%</w:t>
      </w:r>
    </w:p>
    <w:p w:rsidR="00106634" w:rsidRPr="00890622" w:rsidRDefault="00106634" w:rsidP="00C85AFF">
      <w:pPr>
        <w:widowControl w:val="0"/>
        <w:autoSpaceDE w:val="0"/>
        <w:autoSpaceDN w:val="0"/>
        <w:adjustRightInd w:val="0"/>
        <w:ind w:left="360"/>
        <w:rPr>
          <w:sz w:val="22"/>
          <w:szCs w:val="22"/>
        </w:rPr>
      </w:pPr>
      <w:r w:rsidRPr="00890622">
        <w:rPr>
          <w:sz w:val="22"/>
          <w:szCs w:val="22"/>
        </w:rPr>
        <w:t>GS: 4.773% – 3.507% = 1.266%</w:t>
      </w:r>
    </w:p>
    <w:p w:rsidR="00106634" w:rsidRPr="00890622" w:rsidRDefault="00106634" w:rsidP="00C85AFF">
      <w:pPr>
        <w:autoSpaceDE w:val="0"/>
        <w:autoSpaceDN w:val="0"/>
        <w:adjustRightInd w:val="0"/>
        <w:ind w:left="360"/>
        <w:rPr>
          <w:bCs/>
          <w:sz w:val="22"/>
          <w:szCs w:val="22"/>
        </w:rPr>
      </w:pPr>
    </w:p>
    <w:p w:rsidR="00C85AFF" w:rsidRPr="00890622" w:rsidRDefault="00C85AFF" w:rsidP="00C85AFF">
      <w:pPr>
        <w:autoSpaceDE w:val="0"/>
        <w:autoSpaceDN w:val="0"/>
        <w:adjustRightInd w:val="0"/>
        <w:ind w:left="360"/>
        <w:rPr>
          <w:bCs/>
          <w:sz w:val="22"/>
          <w:szCs w:val="22"/>
        </w:rPr>
      </w:pPr>
      <w:r w:rsidRPr="00890622">
        <w:rPr>
          <w:bCs/>
          <w:sz w:val="22"/>
          <w:szCs w:val="22"/>
        </w:rPr>
        <w:t>Relative Yield Spread:</w:t>
      </w:r>
    </w:p>
    <w:p w:rsidR="00106634" w:rsidRPr="00890622" w:rsidRDefault="00106634" w:rsidP="00C85AFF">
      <w:pPr>
        <w:autoSpaceDE w:val="0"/>
        <w:autoSpaceDN w:val="0"/>
        <w:adjustRightInd w:val="0"/>
        <w:ind w:left="360"/>
        <w:rPr>
          <w:sz w:val="22"/>
          <w:szCs w:val="22"/>
        </w:rPr>
      </w:pPr>
      <w:r w:rsidRPr="00890622">
        <w:rPr>
          <w:sz w:val="22"/>
          <w:szCs w:val="22"/>
        </w:rPr>
        <w:t>TWC:  (6.373% – 4.518%) / 4.518% = 41.085%</w:t>
      </w:r>
    </w:p>
    <w:p w:rsidR="00106634" w:rsidRPr="00890622" w:rsidRDefault="00106634" w:rsidP="00C85AFF">
      <w:pPr>
        <w:autoSpaceDE w:val="0"/>
        <w:autoSpaceDN w:val="0"/>
        <w:adjustRightInd w:val="0"/>
        <w:ind w:left="360"/>
        <w:rPr>
          <w:sz w:val="22"/>
          <w:szCs w:val="22"/>
        </w:rPr>
      </w:pPr>
      <w:r w:rsidRPr="00890622">
        <w:rPr>
          <w:sz w:val="22"/>
          <w:szCs w:val="22"/>
        </w:rPr>
        <w:t>MKC: (5.685% – 4.096%) / 4.096% = 38.794%</w:t>
      </w:r>
    </w:p>
    <w:p w:rsidR="00106634" w:rsidRPr="00890622" w:rsidRDefault="00106634" w:rsidP="00C85AFF">
      <w:pPr>
        <w:autoSpaceDE w:val="0"/>
        <w:autoSpaceDN w:val="0"/>
        <w:adjustRightInd w:val="0"/>
        <w:ind w:left="360"/>
        <w:rPr>
          <w:bCs/>
          <w:sz w:val="22"/>
          <w:szCs w:val="22"/>
        </w:rPr>
      </w:pPr>
      <w:r w:rsidRPr="00890622">
        <w:rPr>
          <w:sz w:val="22"/>
          <w:szCs w:val="22"/>
        </w:rPr>
        <w:t>GS: (4.773% – 3.507%) / 3.507% = 36.099%</w:t>
      </w:r>
    </w:p>
    <w:p w:rsidR="00C85AFF" w:rsidRPr="00890622" w:rsidRDefault="00C85AFF" w:rsidP="00C85AFF">
      <w:pPr>
        <w:autoSpaceDE w:val="0"/>
        <w:autoSpaceDN w:val="0"/>
        <w:adjustRightInd w:val="0"/>
        <w:ind w:left="360"/>
        <w:rPr>
          <w:bCs/>
          <w:sz w:val="22"/>
          <w:szCs w:val="22"/>
        </w:rPr>
      </w:pPr>
    </w:p>
    <w:p w:rsidR="00C85AFF" w:rsidRPr="00890622" w:rsidRDefault="00C85AFF" w:rsidP="00C85AFF">
      <w:pPr>
        <w:autoSpaceDE w:val="0"/>
        <w:autoSpaceDN w:val="0"/>
        <w:adjustRightInd w:val="0"/>
        <w:ind w:left="360"/>
        <w:rPr>
          <w:bCs/>
          <w:sz w:val="22"/>
          <w:szCs w:val="22"/>
        </w:rPr>
      </w:pPr>
      <w:r w:rsidRPr="00890622">
        <w:rPr>
          <w:bCs/>
          <w:sz w:val="22"/>
          <w:szCs w:val="22"/>
        </w:rPr>
        <w:t>Yield Ratio:</w:t>
      </w:r>
    </w:p>
    <w:p w:rsidR="00106634" w:rsidRPr="00890622" w:rsidRDefault="00106634" w:rsidP="00C85AFF">
      <w:pPr>
        <w:autoSpaceDE w:val="0"/>
        <w:autoSpaceDN w:val="0"/>
        <w:adjustRightInd w:val="0"/>
        <w:ind w:left="360"/>
        <w:rPr>
          <w:sz w:val="22"/>
          <w:szCs w:val="22"/>
        </w:rPr>
      </w:pPr>
      <w:r w:rsidRPr="00890622">
        <w:rPr>
          <w:sz w:val="22"/>
          <w:szCs w:val="22"/>
        </w:rPr>
        <w:t>TWC: 6.373% / 4.518% = 1.41058</w:t>
      </w:r>
    </w:p>
    <w:p w:rsidR="00106634" w:rsidRPr="00890622" w:rsidRDefault="00106634" w:rsidP="00C85AFF">
      <w:pPr>
        <w:autoSpaceDE w:val="0"/>
        <w:autoSpaceDN w:val="0"/>
        <w:adjustRightInd w:val="0"/>
        <w:ind w:left="360"/>
        <w:rPr>
          <w:sz w:val="22"/>
          <w:szCs w:val="22"/>
        </w:rPr>
      </w:pPr>
      <w:r w:rsidRPr="00890622">
        <w:rPr>
          <w:sz w:val="22"/>
          <w:szCs w:val="22"/>
        </w:rPr>
        <w:t>MKC: 5.685% / 4.096% = 1.38794</w:t>
      </w:r>
    </w:p>
    <w:p w:rsidR="00106634" w:rsidRPr="00890622" w:rsidRDefault="00106634" w:rsidP="00C85AFF">
      <w:pPr>
        <w:autoSpaceDE w:val="0"/>
        <w:autoSpaceDN w:val="0"/>
        <w:adjustRightInd w:val="0"/>
        <w:ind w:left="360"/>
        <w:rPr>
          <w:sz w:val="22"/>
          <w:szCs w:val="22"/>
        </w:rPr>
      </w:pPr>
      <w:r w:rsidRPr="00890622">
        <w:rPr>
          <w:sz w:val="22"/>
          <w:szCs w:val="22"/>
        </w:rPr>
        <w:t>GS: 4.773% / 3.507% = 1.36099</w:t>
      </w:r>
    </w:p>
    <w:p w:rsidR="00C85AFF" w:rsidRPr="00890622" w:rsidRDefault="00C85AFF" w:rsidP="00C85AFF">
      <w:pPr>
        <w:autoSpaceDE w:val="0"/>
        <w:autoSpaceDN w:val="0"/>
        <w:adjustRightInd w:val="0"/>
        <w:ind w:left="360"/>
        <w:rPr>
          <w:sz w:val="22"/>
          <w:szCs w:val="22"/>
        </w:rPr>
      </w:pPr>
    </w:p>
    <w:tbl>
      <w:tblPr>
        <w:tblW w:w="5000" w:type="pct"/>
        <w:tblInd w:w="360" w:type="dxa"/>
        <w:tblCellMar>
          <w:left w:w="0" w:type="dxa"/>
          <w:right w:w="0" w:type="dxa"/>
        </w:tblCellMar>
        <w:tblLook w:val="00A0" w:firstRow="1" w:lastRow="0" w:firstColumn="1" w:lastColumn="0" w:noHBand="0" w:noVBand="0"/>
      </w:tblPr>
      <w:tblGrid>
        <w:gridCol w:w="2674"/>
        <w:gridCol w:w="850"/>
        <w:gridCol w:w="1706"/>
        <w:gridCol w:w="1895"/>
        <w:gridCol w:w="1800"/>
        <w:gridCol w:w="1155"/>
      </w:tblGrid>
      <w:tr w:rsidR="00106634" w:rsidRPr="00890622" w:rsidTr="00C85AFF">
        <w:tc>
          <w:tcPr>
            <w:tcW w:w="1326" w:type="pct"/>
            <w:tcBorders>
              <w:bottom w:val="single" w:sz="4" w:space="0" w:color="auto"/>
            </w:tcBorders>
          </w:tcPr>
          <w:p w:rsidR="00106634" w:rsidRPr="00890622" w:rsidRDefault="00106634" w:rsidP="00325CD7">
            <w:pPr>
              <w:autoSpaceDE w:val="0"/>
              <w:autoSpaceDN w:val="0"/>
              <w:adjustRightInd w:val="0"/>
              <w:jc w:val="center"/>
              <w:rPr>
                <w:sz w:val="22"/>
                <w:szCs w:val="22"/>
              </w:rPr>
            </w:pPr>
            <w:r w:rsidRPr="00890622">
              <w:rPr>
                <w:bCs/>
                <w:sz w:val="22"/>
                <w:szCs w:val="22"/>
              </w:rPr>
              <w:t>Issue</w:t>
            </w:r>
          </w:p>
        </w:tc>
        <w:tc>
          <w:tcPr>
            <w:tcW w:w="421" w:type="pct"/>
            <w:tcBorders>
              <w:bottom w:val="single" w:sz="4" w:space="0" w:color="auto"/>
            </w:tcBorders>
          </w:tcPr>
          <w:p w:rsidR="00106634" w:rsidRPr="00890622" w:rsidRDefault="00106634" w:rsidP="00325CD7">
            <w:pPr>
              <w:autoSpaceDE w:val="0"/>
              <w:autoSpaceDN w:val="0"/>
              <w:adjustRightInd w:val="0"/>
              <w:jc w:val="center"/>
              <w:rPr>
                <w:sz w:val="22"/>
                <w:szCs w:val="22"/>
              </w:rPr>
            </w:pPr>
            <w:r w:rsidRPr="00890622">
              <w:rPr>
                <w:bCs/>
                <w:sz w:val="22"/>
                <w:szCs w:val="22"/>
              </w:rPr>
              <w:t>Yield (%)</w:t>
            </w:r>
          </w:p>
        </w:tc>
        <w:tc>
          <w:tcPr>
            <w:tcW w:w="846" w:type="pct"/>
            <w:tcBorders>
              <w:bottom w:val="single" w:sz="4" w:space="0" w:color="auto"/>
            </w:tcBorders>
          </w:tcPr>
          <w:p w:rsidR="00106634" w:rsidRPr="00890622" w:rsidRDefault="00106634" w:rsidP="00325CD7">
            <w:pPr>
              <w:autoSpaceDE w:val="0"/>
              <w:autoSpaceDN w:val="0"/>
              <w:adjustRightInd w:val="0"/>
              <w:jc w:val="center"/>
              <w:rPr>
                <w:sz w:val="22"/>
                <w:szCs w:val="22"/>
              </w:rPr>
            </w:pPr>
            <w:r w:rsidRPr="00890622">
              <w:rPr>
                <w:bCs/>
                <w:sz w:val="22"/>
                <w:szCs w:val="22"/>
              </w:rPr>
              <w:t>Treasury Benchmark</w:t>
            </w:r>
          </w:p>
        </w:tc>
        <w:tc>
          <w:tcPr>
            <w:tcW w:w="940" w:type="pct"/>
            <w:tcBorders>
              <w:bottom w:val="single" w:sz="4" w:space="0" w:color="auto"/>
            </w:tcBorders>
          </w:tcPr>
          <w:p w:rsidR="00106634" w:rsidRPr="00890622" w:rsidRDefault="00106634" w:rsidP="00325CD7">
            <w:pPr>
              <w:autoSpaceDE w:val="0"/>
              <w:autoSpaceDN w:val="0"/>
              <w:adjustRightInd w:val="0"/>
              <w:jc w:val="center"/>
              <w:rPr>
                <w:bCs/>
                <w:sz w:val="22"/>
                <w:szCs w:val="22"/>
              </w:rPr>
            </w:pPr>
            <w:r w:rsidRPr="00890622">
              <w:rPr>
                <w:bCs/>
                <w:sz w:val="22"/>
                <w:szCs w:val="22"/>
              </w:rPr>
              <w:t>Benchmark</w:t>
            </w:r>
          </w:p>
          <w:p w:rsidR="00106634" w:rsidRPr="00890622" w:rsidRDefault="00106634" w:rsidP="00325CD7">
            <w:pPr>
              <w:autoSpaceDE w:val="0"/>
              <w:autoSpaceDN w:val="0"/>
              <w:adjustRightInd w:val="0"/>
              <w:jc w:val="center"/>
              <w:rPr>
                <w:sz w:val="22"/>
                <w:szCs w:val="22"/>
              </w:rPr>
            </w:pPr>
            <w:r w:rsidRPr="00890622">
              <w:rPr>
                <w:bCs/>
                <w:sz w:val="22"/>
                <w:szCs w:val="22"/>
              </w:rPr>
              <w:t>Spread (bps)</w:t>
            </w:r>
          </w:p>
        </w:tc>
        <w:tc>
          <w:tcPr>
            <w:tcW w:w="893" w:type="pct"/>
            <w:tcBorders>
              <w:bottom w:val="single" w:sz="4" w:space="0" w:color="auto"/>
            </w:tcBorders>
          </w:tcPr>
          <w:p w:rsidR="00106634" w:rsidRPr="00890622" w:rsidRDefault="00106634" w:rsidP="00325CD7">
            <w:pPr>
              <w:autoSpaceDE w:val="0"/>
              <w:autoSpaceDN w:val="0"/>
              <w:adjustRightInd w:val="0"/>
              <w:jc w:val="center"/>
              <w:rPr>
                <w:bCs/>
                <w:sz w:val="22"/>
                <w:szCs w:val="22"/>
              </w:rPr>
            </w:pPr>
            <w:r w:rsidRPr="00890622">
              <w:rPr>
                <w:bCs/>
                <w:sz w:val="22"/>
                <w:szCs w:val="22"/>
              </w:rPr>
              <w:t>Relative Yield</w:t>
            </w:r>
          </w:p>
          <w:p w:rsidR="00106634" w:rsidRPr="00890622" w:rsidRDefault="00106634" w:rsidP="00325CD7">
            <w:pPr>
              <w:autoSpaceDE w:val="0"/>
              <w:autoSpaceDN w:val="0"/>
              <w:adjustRightInd w:val="0"/>
              <w:jc w:val="center"/>
              <w:rPr>
                <w:sz w:val="22"/>
                <w:szCs w:val="22"/>
              </w:rPr>
            </w:pPr>
            <w:r w:rsidRPr="00890622">
              <w:rPr>
                <w:bCs/>
                <w:sz w:val="22"/>
                <w:szCs w:val="22"/>
              </w:rPr>
              <w:t>Spread</w:t>
            </w:r>
          </w:p>
        </w:tc>
        <w:tc>
          <w:tcPr>
            <w:tcW w:w="573" w:type="pct"/>
            <w:tcBorders>
              <w:bottom w:val="single" w:sz="4" w:space="0" w:color="auto"/>
            </w:tcBorders>
          </w:tcPr>
          <w:p w:rsidR="004F37B4" w:rsidRDefault="004F37B4" w:rsidP="00325CD7">
            <w:pPr>
              <w:autoSpaceDE w:val="0"/>
              <w:autoSpaceDN w:val="0"/>
              <w:adjustRightInd w:val="0"/>
              <w:jc w:val="center"/>
              <w:rPr>
                <w:bCs/>
                <w:sz w:val="22"/>
                <w:szCs w:val="22"/>
              </w:rPr>
            </w:pPr>
          </w:p>
          <w:p w:rsidR="00106634" w:rsidRPr="00890622" w:rsidRDefault="00106634" w:rsidP="00325CD7">
            <w:pPr>
              <w:autoSpaceDE w:val="0"/>
              <w:autoSpaceDN w:val="0"/>
              <w:adjustRightInd w:val="0"/>
              <w:jc w:val="center"/>
              <w:rPr>
                <w:sz w:val="22"/>
                <w:szCs w:val="22"/>
              </w:rPr>
            </w:pPr>
            <w:r w:rsidRPr="00890622">
              <w:rPr>
                <w:bCs/>
                <w:sz w:val="22"/>
                <w:szCs w:val="22"/>
              </w:rPr>
              <w:t>Yield Ratio</w:t>
            </w:r>
          </w:p>
        </w:tc>
      </w:tr>
      <w:tr w:rsidR="00106634" w:rsidRPr="00890622" w:rsidTr="00C85AFF">
        <w:tc>
          <w:tcPr>
            <w:tcW w:w="1326" w:type="pct"/>
            <w:tcBorders>
              <w:top w:val="single" w:sz="4" w:space="0" w:color="auto"/>
            </w:tcBorders>
          </w:tcPr>
          <w:p w:rsidR="00106634" w:rsidRPr="00890622" w:rsidRDefault="00106634" w:rsidP="00325CD7">
            <w:pPr>
              <w:autoSpaceDE w:val="0"/>
              <w:autoSpaceDN w:val="0"/>
              <w:adjustRightInd w:val="0"/>
              <w:jc w:val="center"/>
              <w:rPr>
                <w:sz w:val="22"/>
                <w:szCs w:val="22"/>
              </w:rPr>
            </w:pPr>
            <w:r w:rsidRPr="00890622">
              <w:rPr>
                <w:sz w:val="22"/>
                <w:szCs w:val="22"/>
              </w:rPr>
              <w:t>TWC 6.55 05/01/2037</w:t>
            </w:r>
          </w:p>
        </w:tc>
        <w:tc>
          <w:tcPr>
            <w:tcW w:w="421" w:type="pct"/>
            <w:tcBorders>
              <w:top w:val="single" w:sz="4" w:space="0" w:color="auto"/>
            </w:tcBorders>
          </w:tcPr>
          <w:p w:rsidR="00106634" w:rsidRPr="00890622" w:rsidRDefault="00106634" w:rsidP="00325CD7">
            <w:pPr>
              <w:autoSpaceDE w:val="0"/>
              <w:autoSpaceDN w:val="0"/>
              <w:adjustRightInd w:val="0"/>
              <w:jc w:val="center"/>
              <w:rPr>
                <w:sz w:val="22"/>
                <w:szCs w:val="22"/>
              </w:rPr>
            </w:pPr>
            <w:r w:rsidRPr="00890622">
              <w:rPr>
                <w:sz w:val="22"/>
                <w:szCs w:val="22"/>
              </w:rPr>
              <w:t>6.373</w:t>
            </w:r>
          </w:p>
        </w:tc>
        <w:tc>
          <w:tcPr>
            <w:tcW w:w="846" w:type="pct"/>
            <w:tcBorders>
              <w:top w:val="single" w:sz="4" w:space="0" w:color="auto"/>
            </w:tcBorders>
          </w:tcPr>
          <w:p w:rsidR="00106634" w:rsidRPr="00890622" w:rsidRDefault="00106634" w:rsidP="00325CD7">
            <w:pPr>
              <w:autoSpaceDE w:val="0"/>
              <w:autoSpaceDN w:val="0"/>
              <w:adjustRightInd w:val="0"/>
              <w:jc w:val="center"/>
              <w:rPr>
                <w:b/>
                <w:sz w:val="22"/>
                <w:szCs w:val="22"/>
              </w:rPr>
            </w:pPr>
            <w:r w:rsidRPr="00890622">
              <w:rPr>
                <w:b/>
                <w:sz w:val="22"/>
                <w:szCs w:val="22"/>
              </w:rPr>
              <w:t>4.518</w:t>
            </w:r>
          </w:p>
        </w:tc>
        <w:tc>
          <w:tcPr>
            <w:tcW w:w="940" w:type="pct"/>
            <w:tcBorders>
              <w:top w:val="single" w:sz="4" w:space="0" w:color="auto"/>
            </w:tcBorders>
          </w:tcPr>
          <w:p w:rsidR="00106634" w:rsidRPr="00890622" w:rsidRDefault="00106634" w:rsidP="00325CD7">
            <w:pPr>
              <w:autoSpaceDE w:val="0"/>
              <w:autoSpaceDN w:val="0"/>
              <w:adjustRightInd w:val="0"/>
              <w:jc w:val="center"/>
              <w:rPr>
                <w:b/>
                <w:sz w:val="22"/>
                <w:szCs w:val="22"/>
              </w:rPr>
            </w:pPr>
            <w:r w:rsidRPr="00890622">
              <w:rPr>
                <w:b/>
                <w:sz w:val="22"/>
                <w:szCs w:val="22"/>
              </w:rPr>
              <w:t>1.855</w:t>
            </w:r>
          </w:p>
        </w:tc>
        <w:tc>
          <w:tcPr>
            <w:tcW w:w="893" w:type="pct"/>
            <w:tcBorders>
              <w:top w:val="single" w:sz="4" w:space="0" w:color="auto"/>
            </w:tcBorders>
          </w:tcPr>
          <w:p w:rsidR="00106634" w:rsidRPr="00890622" w:rsidRDefault="00106634" w:rsidP="00325CD7">
            <w:pPr>
              <w:autoSpaceDE w:val="0"/>
              <w:autoSpaceDN w:val="0"/>
              <w:adjustRightInd w:val="0"/>
              <w:jc w:val="center"/>
              <w:rPr>
                <w:b/>
                <w:sz w:val="22"/>
                <w:szCs w:val="22"/>
              </w:rPr>
            </w:pPr>
            <w:r w:rsidRPr="00890622">
              <w:rPr>
                <w:b/>
                <w:sz w:val="22"/>
                <w:szCs w:val="22"/>
              </w:rPr>
              <w:t>41%</w:t>
            </w:r>
          </w:p>
        </w:tc>
        <w:tc>
          <w:tcPr>
            <w:tcW w:w="573" w:type="pct"/>
            <w:tcBorders>
              <w:top w:val="single" w:sz="4" w:space="0" w:color="auto"/>
            </w:tcBorders>
          </w:tcPr>
          <w:p w:rsidR="00106634" w:rsidRPr="00890622" w:rsidRDefault="00106634" w:rsidP="00325CD7">
            <w:pPr>
              <w:autoSpaceDE w:val="0"/>
              <w:autoSpaceDN w:val="0"/>
              <w:adjustRightInd w:val="0"/>
              <w:jc w:val="center"/>
              <w:rPr>
                <w:b/>
                <w:sz w:val="22"/>
                <w:szCs w:val="22"/>
              </w:rPr>
            </w:pPr>
            <w:r w:rsidRPr="00890622">
              <w:rPr>
                <w:b/>
                <w:sz w:val="22"/>
                <w:szCs w:val="22"/>
              </w:rPr>
              <w:t>1.41</w:t>
            </w:r>
          </w:p>
        </w:tc>
      </w:tr>
      <w:tr w:rsidR="00106634" w:rsidRPr="00890622" w:rsidTr="00C85AFF">
        <w:tc>
          <w:tcPr>
            <w:tcW w:w="1326" w:type="pct"/>
          </w:tcPr>
          <w:p w:rsidR="00106634" w:rsidRPr="00890622" w:rsidRDefault="00106634" w:rsidP="00325CD7">
            <w:pPr>
              <w:autoSpaceDE w:val="0"/>
              <w:autoSpaceDN w:val="0"/>
              <w:adjustRightInd w:val="0"/>
              <w:jc w:val="center"/>
              <w:rPr>
                <w:sz w:val="22"/>
                <w:szCs w:val="22"/>
              </w:rPr>
            </w:pPr>
            <w:r w:rsidRPr="00890622">
              <w:rPr>
                <w:sz w:val="22"/>
                <w:szCs w:val="22"/>
              </w:rPr>
              <w:t>MKC 5.75 12/15/2017</w:t>
            </w:r>
          </w:p>
        </w:tc>
        <w:tc>
          <w:tcPr>
            <w:tcW w:w="421" w:type="pct"/>
          </w:tcPr>
          <w:p w:rsidR="00106634" w:rsidRPr="00890622" w:rsidRDefault="00106634" w:rsidP="00325CD7">
            <w:pPr>
              <w:autoSpaceDE w:val="0"/>
              <w:autoSpaceDN w:val="0"/>
              <w:adjustRightInd w:val="0"/>
              <w:jc w:val="center"/>
              <w:rPr>
                <w:sz w:val="22"/>
                <w:szCs w:val="22"/>
              </w:rPr>
            </w:pPr>
            <w:r w:rsidRPr="00890622">
              <w:rPr>
                <w:sz w:val="22"/>
                <w:szCs w:val="22"/>
              </w:rPr>
              <w:t>5.685</w:t>
            </w:r>
          </w:p>
        </w:tc>
        <w:tc>
          <w:tcPr>
            <w:tcW w:w="846" w:type="pct"/>
          </w:tcPr>
          <w:p w:rsidR="00106634" w:rsidRPr="00890622" w:rsidRDefault="00106634" w:rsidP="00325CD7">
            <w:pPr>
              <w:autoSpaceDE w:val="0"/>
              <w:autoSpaceDN w:val="0"/>
              <w:adjustRightInd w:val="0"/>
              <w:jc w:val="center"/>
              <w:rPr>
                <w:b/>
                <w:sz w:val="22"/>
                <w:szCs w:val="22"/>
              </w:rPr>
            </w:pPr>
            <w:r w:rsidRPr="00890622">
              <w:rPr>
                <w:b/>
                <w:sz w:val="22"/>
                <w:szCs w:val="22"/>
              </w:rPr>
              <w:t>4.096</w:t>
            </w:r>
          </w:p>
        </w:tc>
        <w:tc>
          <w:tcPr>
            <w:tcW w:w="940" w:type="pct"/>
          </w:tcPr>
          <w:p w:rsidR="00106634" w:rsidRPr="00890622" w:rsidRDefault="00106634" w:rsidP="00325CD7">
            <w:pPr>
              <w:autoSpaceDE w:val="0"/>
              <w:autoSpaceDN w:val="0"/>
              <w:adjustRightInd w:val="0"/>
              <w:jc w:val="center"/>
              <w:rPr>
                <w:b/>
                <w:sz w:val="22"/>
                <w:szCs w:val="22"/>
              </w:rPr>
            </w:pPr>
            <w:r w:rsidRPr="00890622">
              <w:rPr>
                <w:b/>
                <w:sz w:val="22"/>
                <w:szCs w:val="22"/>
              </w:rPr>
              <w:t>1.589</w:t>
            </w:r>
          </w:p>
        </w:tc>
        <w:tc>
          <w:tcPr>
            <w:tcW w:w="893" w:type="pct"/>
          </w:tcPr>
          <w:p w:rsidR="00106634" w:rsidRPr="00890622" w:rsidRDefault="00106634" w:rsidP="00325CD7">
            <w:pPr>
              <w:autoSpaceDE w:val="0"/>
              <w:autoSpaceDN w:val="0"/>
              <w:adjustRightInd w:val="0"/>
              <w:jc w:val="center"/>
              <w:rPr>
                <w:b/>
                <w:sz w:val="22"/>
                <w:szCs w:val="22"/>
              </w:rPr>
            </w:pPr>
            <w:r w:rsidRPr="00890622">
              <w:rPr>
                <w:b/>
                <w:sz w:val="22"/>
                <w:szCs w:val="22"/>
              </w:rPr>
              <w:t>39%</w:t>
            </w:r>
          </w:p>
        </w:tc>
        <w:tc>
          <w:tcPr>
            <w:tcW w:w="573" w:type="pct"/>
          </w:tcPr>
          <w:p w:rsidR="00106634" w:rsidRPr="00890622" w:rsidRDefault="00106634" w:rsidP="00325CD7">
            <w:pPr>
              <w:autoSpaceDE w:val="0"/>
              <w:autoSpaceDN w:val="0"/>
              <w:adjustRightInd w:val="0"/>
              <w:jc w:val="center"/>
              <w:rPr>
                <w:b/>
                <w:sz w:val="22"/>
                <w:szCs w:val="22"/>
              </w:rPr>
            </w:pPr>
            <w:r w:rsidRPr="00890622">
              <w:rPr>
                <w:b/>
                <w:sz w:val="22"/>
                <w:szCs w:val="22"/>
              </w:rPr>
              <w:t>1.39</w:t>
            </w:r>
          </w:p>
        </w:tc>
      </w:tr>
      <w:tr w:rsidR="00106634" w:rsidRPr="00890622" w:rsidTr="00C85AFF">
        <w:tc>
          <w:tcPr>
            <w:tcW w:w="1326" w:type="pct"/>
          </w:tcPr>
          <w:p w:rsidR="00106634" w:rsidRPr="00890622" w:rsidRDefault="00106634" w:rsidP="00325CD7">
            <w:pPr>
              <w:autoSpaceDE w:val="0"/>
              <w:autoSpaceDN w:val="0"/>
              <w:adjustRightInd w:val="0"/>
              <w:jc w:val="center"/>
              <w:rPr>
                <w:sz w:val="22"/>
                <w:szCs w:val="22"/>
              </w:rPr>
            </w:pPr>
            <w:r w:rsidRPr="00890622">
              <w:rPr>
                <w:sz w:val="22"/>
                <w:szCs w:val="22"/>
              </w:rPr>
              <w:t>GS    5.45 11/01/2012</w:t>
            </w:r>
          </w:p>
        </w:tc>
        <w:tc>
          <w:tcPr>
            <w:tcW w:w="421" w:type="pct"/>
          </w:tcPr>
          <w:p w:rsidR="00106634" w:rsidRPr="00890622" w:rsidRDefault="00106634" w:rsidP="00325CD7">
            <w:pPr>
              <w:autoSpaceDE w:val="0"/>
              <w:autoSpaceDN w:val="0"/>
              <w:adjustRightInd w:val="0"/>
              <w:jc w:val="center"/>
              <w:rPr>
                <w:sz w:val="22"/>
                <w:szCs w:val="22"/>
              </w:rPr>
            </w:pPr>
            <w:r w:rsidRPr="00890622">
              <w:rPr>
                <w:sz w:val="22"/>
                <w:szCs w:val="22"/>
              </w:rPr>
              <w:t>4.773</w:t>
            </w:r>
          </w:p>
        </w:tc>
        <w:tc>
          <w:tcPr>
            <w:tcW w:w="846" w:type="pct"/>
          </w:tcPr>
          <w:p w:rsidR="00106634" w:rsidRPr="00890622" w:rsidRDefault="00106634" w:rsidP="00325CD7">
            <w:pPr>
              <w:autoSpaceDE w:val="0"/>
              <w:autoSpaceDN w:val="0"/>
              <w:adjustRightInd w:val="0"/>
              <w:jc w:val="center"/>
              <w:rPr>
                <w:b/>
                <w:sz w:val="22"/>
                <w:szCs w:val="22"/>
              </w:rPr>
            </w:pPr>
            <w:r w:rsidRPr="00890622">
              <w:rPr>
                <w:b/>
                <w:sz w:val="22"/>
                <w:szCs w:val="22"/>
              </w:rPr>
              <w:t>3.507</w:t>
            </w:r>
          </w:p>
        </w:tc>
        <w:tc>
          <w:tcPr>
            <w:tcW w:w="940" w:type="pct"/>
          </w:tcPr>
          <w:p w:rsidR="00106634" w:rsidRPr="00890622" w:rsidRDefault="00106634" w:rsidP="00325CD7">
            <w:pPr>
              <w:autoSpaceDE w:val="0"/>
              <w:autoSpaceDN w:val="0"/>
              <w:adjustRightInd w:val="0"/>
              <w:jc w:val="center"/>
              <w:rPr>
                <w:b/>
                <w:sz w:val="22"/>
                <w:szCs w:val="22"/>
              </w:rPr>
            </w:pPr>
            <w:r w:rsidRPr="00890622">
              <w:rPr>
                <w:b/>
                <w:sz w:val="22"/>
                <w:szCs w:val="22"/>
              </w:rPr>
              <w:t>1.266</w:t>
            </w:r>
          </w:p>
        </w:tc>
        <w:tc>
          <w:tcPr>
            <w:tcW w:w="893" w:type="pct"/>
          </w:tcPr>
          <w:p w:rsidR="00106634" w:rsidRPr="00890622" w:rsidRDefault="00106634" w:rsidP="00325CD7">
            <w:pPr>
              <w:autoSpaceDE w:val="0"/>
              <w:autoSpaceDN w:val="0"/>
              <w:adjustRightInd w:val="0"/>
              <w:jc w:val="center"/>
              <w:rPr>
                <w:b/>
                <w:sz w:val="22"/>
                <w:szCs w:val="22"/>
              </w:rPr>
            </w:pPr>
            <w:r w:rsidRPr="00890622">
              <w:rPr>
                <w:b/>
                <w:sz w:val="22"/>
                <w:szCs w:val="22"/>
              </w:rPr>
              <w:t>36%</w:t>
            </w:r>
          </w:p>
        </w:tc>
        <w:tc>
          <w:tcPr>
            <w:tcW w:w="573" w:type="pct"/>
          </w:tcPr>
          <w:p w:rsidR="00106634" w:rsidRPr="00890622" w:rsidRDefault="00106634" w:rsidP="00325CD7">
            <w:pPr>
              <w:autoSpaceDE w:val="0"/>
              <w:autoSpaceDN w:val="0"/>
              <w:adjustRightInd w:val="0"/>
              <w:jc w:val="center"/>
              <w:rPr>
                <w:b/>
                <w:sz w:val="22"/>
                <w:szCs w:val="22"/>
              </w:rPr>
            </w:pPr>
            <w:r w:rsidRPr="00890622">
              <w:rPr>
                <w:b/>
                <w:sz w:val="22"/>
                <w:szCs w:val="22"/>
              </w:rPr>
              <w:t>1.36</w:t>
            </w:r>
          </w:p>
        </w:tc>
      </w:tr>
    </w:tbl>
    <w:p w:rsidR="00C85AFF" w:rsidRPr="00890622" w:rsidRDefault="00C85AFF" w:rsidP="00C85AFF">
      <w:pPr>
        <w:pStyle w:val="ListParagraph"/>
        <w:autoSpaceDE w:val="0"/>
        <w:autoSpaceDN w:val="0"/>
        <w:adjustRightInd w:val="0"/>
        <w:ind w:left="360"/>
        <w:rPr>
          <w:b/>
          <w:sz w:val="22"/>
          <w:szCs w:val="22"/>
        </w:rPr>
      </w:pPr>
    </w:p>
    <w:p w:rsidR="00106634" w:rsidRPr="00890622" w:rsidRDefault="00106634" w:rsidP="00DD2358">
      <w:pPr>
        <w:pStyle w:val="ListParagraph"/>
        <w:numPr>
          <w:ilvl w:val="0"/>
          <w:numId w:val="4"/>
        </w:numPr>
        <w:autoSpaceDE w:val="0"/>
        <w:autoSpaceDN w:val="0"/>
        <w:adjustRightInd w:val="0"/>
        <w:rPr>
          <w:b/>
          <w:sz w:val="22"/>
          <w:szCs w:val="22"/>
        </w:rPr>
      </w:pPr>
      <w:r w:rsidRPr="00890622">
        <w:rPr>
          <w:b/>
          <w:sz w:val="22"/>
          <w:szCs w:val="22"/>
        </w:rPr>
        <w:t>The yield spread between two corporate bond issues reflects more than just differences in their credit risk. What other factors would the spread reflect?</w:t>
      </w:r>
    </w:p>
    <w:p w:rsidR="004F37B4" w:rsidRDefault="004F37B4" w:rsidP="004F37B4">
      <w:pPr>
        <w:pStyle w:val="ListParagraph"/>
        <w:widowControl w:val="0"/>
        <w:autoSpaceDE w:val="0"/>
        <w:autoSpaceDN w:val="0"/>
        <w:adjustRightInd w:val="0"/>
        <w:rPr>
          <w:sz w:val="22"/>
          <w:szCs w:val="22"/>
        </w:rPr>
      </w:pPr>
    </w:p>
    <w:p w:rsidR="00106634" w:rsidRPr="00890622" w:rsidRDefault="00106634" w:rsidP="00DD2358">
      <w:pPr>
        <w:pStyle w:val="ListParagraph"/>
        <w:widowControl w:val="0"/>
        <w:numPr>
          <w:ilvl w:val="0"/>
          <w:numId w:val="1"/>
        </w:numPr>
        <w:autoSpaceDE w:val="0"/>
        <w:autoSpaceDN w:val="0"/>
        <w:adjustRightInd w:val="0"/>
        <w:rPr>
          <w:sz w:val="22"/>
          <w:szCs w:val="22"/>
        </w:rPr>
      </w:pPr>
      <w:r w:rsidRPr="00890622">
        <w:rPr>
          <w:sz w:val="22"/>
          <w:szCs w:val="22"/>
        </w:rPr>
        <w:t>Term or maturity of the issue</w:t>
      </w:r>
    </w:p>
    <w:p w:rsidR="00106634" w:rsidRPr="00890622" w:rsidRDefault="00106634" w:rsidP="00DD2358">
      <w:pPr>
        <w:pStyle w:val="ListParagraph"/>
        <w:widowControl w:val="0"/>
        <w:numPr>
          <w:ilvl w:val="0"/>
          <w:numId w:val="1"/>
        </w:numPr>
        <w:autoSpaceDE w:val="0"/>
        <w:autoSpaceDN w:val="0"/>
        <w:adjustRightInd w:val="0"/>
        <w:rPr>
          <w:sz w:val="22"/>
          <w:szCs w:val="22"/>
        </w:rPr>
      </w:pPr>
      <w:r w:rsidRPr="00890622">
        <w:rPr>
          <w:sz w:val="22"/>
          <w:szCs w:val="22"/>
        </w:rPr>
        <w:t>Embedded options</w:t>
      </w:r>
    </w:p>
    <w:p w:rsidR="00106634" w:rsidRPr="00890622" w:rsidRDefault="00106634" w:rsidP="00DD2358">
      <w:pPr>
        <w:pStyle w:val="ListParagraph"/>
        <w:widowControl w:val="0"/>
        <w:numPr>
          <w:ilvl w:val="0"/>
          <w:numId w:val="1"/>
        </w:numPr>
        <w:autoSpaceDE w:val="0"/>
        <w:autoSpaceDN w:val="0"/>
        <w:adjustRightInd w:val="0"/>
        <w:rPr>
          <w:sz w:val="22"/>
          <w:szCs w:val="22"/>
        </w:rPr>
      </w:pPr>
      <w:r w:rsidRPr="00890622">
        <w:rPr>
          <w:sz w:val="22"/>
          <w:szCs w:val="22"/>
        </w:rPr>
        <w:t xml:space="preserve">Taxability of interest </w:t>
      </w:r>
    </w:p>
    <w:p w:rsidR="00106634" w:rsidRDefault="00106634" w:rsidP="00DD2358">
      <w:pPr>
        <w:pStyle w:val="ListParagraph"/>
        <w:widowControl w:val="0"/>
        <w:numPr>
          <w:ilvl w:val="0"/>
          <w:numId w:val="1"/>
        </w:numPr>
        <w:autoSpaceDE w:val="0"/>
        <w:autoSpaceDN w:val="0"/>
        <w:adjustRightInd w:val="0"/>
        <w:rPr>
          <w:sz w:val="22"/>
          <w:szCs w:val="22"/>
        </w:rPr>
      </w:pPr>
      <w:r w:rsidRPr="00890622">
        <w:rPr>
          <w:sz w:val="22"/>
          <w:szCs w:val="22"/>
        </w:rPr>
        <w:t>Expected liquidity of the issue</w:t>
      </w:r>
    </w:p>
    <w:p w:rsidR="004F37B4" w:rsidRPr="00890622" w:rsidRDefault="004F37B4" w:rsidP="004F37B4">
      <w:pPr>
        <w:pStyle w:val="ListParagraph"/>
        <w:widowControl w:val="0"/>
        <w:autoSpaceDE w:val="0"/>
        <w:autoSpaceDN w:val="0"/>
        <w:adjustRightInd w:val="0"/>
        <w:rPr>
          <w:sz w:val="22"/>
          <w:szCs w:val="22"/>
        </w:rPr>
      </w:pPr>
    </w:p>
    <w:p w:rsidR="00106634" w:rsidRPr="00890622" w:rsidRDefault="00106634" w:rsidP="00DD2358">
      <w:pPr>
        <w:pStyle w:val="ListParagraph"/>
        <w:numPr>
          <w:ilvl w:val="0"/>
          <w:numId w:val="4"/>
        </w:numPr>
        <w:autoSpaceDE w:val="0"/>
        <w:autoSpaceDN w:val="0"/>
        <w:adjustRightInd w:val="0"/>
        <w:rPr>
          <w:b/>
          <w:sz w:val="22"/>
          <w:szCs w:val="22"/>
        </w:rPr>
      </w:pPr>
      <w:r w:rsidRPr="00890622">
        <w:rPr>
          <w:b/>
          <w:sz w:val="22"/>
          <w:szCs w:val="22"/>
        </w:rPr>
        <w:lastRenderedPageBreak/>
        <w:t>Why is an option-adjusted spread more suitable for a bond with an embedded option than a yield spread?</w:t>
      </w:r>
    </w:p>
    <w:p w:rsidR="004F37B4" w:rsidRDefault="004F37B4" w:rsidP="00061D1C">
      <w:pPr>
        <w:autoSpaceDE w:val="0"/>
        <w:autoSpaceDN w:val="0"/>
        <w:adjustRightInd w:val="0"/>
        <w:ind w:left="360"/>
        <w:rPr>
          <w:sz w:val="22"/>
          <w:szCs w:val="22"/>
        </w:rPr>
      </w:pPr>
    </w:p>
    <w:p w:rsidR="00061D1C" w:rsidRPr="00890622" w:rsidRDefault="00061D1C" w:rsidP="00061D1C">
      <w:pPr>
        <w:autoSpaceDE w:val="0"/>
        <w:autoSpaceDN w:val="0"/>
        <w:adjustRightInd w:val="0"/>
        <w:ind w:left="360"/>
        <w:rPr>
          <w:sz w:val="22"/>
          <w:szCs w:val="22"/>
        </w:rPr>
      </w:pPr>
      <w:r w:rsidRPr="00890622">
        <w:rPr>
          <w:sz w:val="22"/>
          <w:szCs w:val="22"/>
        </w:rPr>
        <w:t xml:space="preserve">The interest earned on a taxable bond relative to a similar maturity treasury bond (the spread to treasuries) includes credit risk premium, the liquidity premium, and any adjustments for optionality.  Recall if the option is granted to the issuer (a call option), the yield is greater and if the option is granted to the holder (convert option or put option) the yield is smaller.  </w:t>
      </w:r>
    </w:p>
    <w:p w:rsidR="00061D1C" w:rsidRPr="00890622" w:rsidRDefault="00061D1C" w:rsidP="00061D1C">
      <w:pPr>
        <w:autoSpaceDE w:val="0"/>
        <w:autoSpaceDN w:val="0"/>
        <w:adjustRightInd w:val="0"/>
        <w:ind w:left="360"/>
        <w:rPr>
          <w:sz w:val="22"/>
          <w:szCs w:val="22"/>
        </w:rPr>
      </w:pPr>
    </w:p>
    <w:p w:rsidR="00061D1C" w:rsidRPr="00890622" w:rsidRDefault="00061D1C" w:rsidP="00061D1C">
      <w:pPr>
        <w:autoSpaceDE w:val="0"/>
        <w:autoSpaceDN w:val="0"/>
        <w:adjustRightInd w:val="0"/>
        <w:ind w:left="360"/>
        <w:rPr>
          <w:sz w:val="22"/>
          <w:szCs w:val="22"/>
        </w:rPr>
      </w:pPr>
      <w:r w:rsidRPr="00890622">
        <w:rPr>
          <w:sz w:val="22"/>
          <w:szCs w:val="22"/>
        </w:rPr>
        <w:t xml:space="preserve">Generally the liquidity premium is small (relative to the credit premium) to the intent of the Option Adjusted Spread (OAS) is to remove from the market spread the effects of optionality in order to better measure the credit premium.,  </w:t>
      </w:r>
    </w:p>
    <w:p w:rsidR="00061D1C" w:rsidRPr="00890622" w:rsidRDefault="00061D1C" w:rsidP="00061D1C">
      <w:pPr>
        <w:autoSpaceDE w:val="0"/>
        <w:autoSpaceDN w:val="0"/>
        <w:adjustRightInd w:val="0"/>
        <w:rPr>
          <w:b/>
          <w:sz w:val="22"/>
          <w:szCs w:val="22"/>
        </w:rPr>
      </w:pPr>
    </w:p>
    <w:p w:rsidR="00061D1C" w:rsidRPr="00890622" w:rsidRDefault="00061D1C" w:rsidP="00DD2358">
      <w:pPr>
        <w:pStyle w:val="ListParagraph"/>
        <w:numPr>
          <w:ilvl w:val="0"/>
          <w:numId w:val="4"/>
        </w:numPr>
        <w:autoSpaceDE w:val="0"/>
        <w:autoSpaceDN w:val="0"/>
        <w:adjustRightInd w:val="0"/>
        <w:rPr>
          <w:b/>
          <w:sz w:val="22"/>
          <w:szCs w:val="22"/>
        </w:rPr>
      </w:pPr>
      <w:r w:rsidRPr="00890622">
        <w:rPr>
          <w:b/>
          <w:sz w:val="22"/>
          <w:szCs w:val="22"/>
        </w:rPr>
        <w:t>Suppose a client observes the following spreads for two bonds:</w:t>
      </w:r>
    </w:p>
    <w:p w:rsidR="00106634" w:rsidRPr="00890622" w:rsidRDefault="00106634" w:rsidP="00061D1C">
      <w:pPr>
        <w:autoSpaceDE w:val="0"/>
        <w:autoSpaceDN w:val="0"/>
        <w:adjustRightInd w:val="0"/>
        <w:ind w:left="720"/>
        <w:rPr>
          <w:b/>
          <w:sz w:val="22"/>
          <w:szCs w:val="22"/>
        </w:rPr>
      </w:pPr>
      <w:r w:rsidRPr="00890622">
        <w:rPr>
          <w:b/>
          <w:sz w:val="22"/>
          <w:szCs w:val="22"/>
        </w:rPr>
        <w:t>Bond issue U rated A: 150 basis points</w:t>
      </w:r>
    </w:p>
    <w:p w:rsidR="00106634" w:rsidRPr="00890622" w:rsidRDefault="00106634" w:rsidP="00061D1C">
      <w:pPr>
        <w:autoSpaceDE w:val="0"/>
        <w:autoSpaceDN w:val="0"/>
        <w:adjustRightInd w:val="0"/>
        <w:ind w:left="720"/>
        <w:rPr>
          <w:b/>
          <w:sz w:val="22"/>
          <w:szCs w:val="22"/>
        </w:rPr>
      </w:pPr>
      <w:r w:rsidRPr="00890622">
        <w:rPr>
          <w:b/>
          <w:sz w:val="22"/>
          <w:szCs w:val="22"/>
        </w:rPr>
        <w:t>Bond issue V rated BBB: 135 basis points</w:t>
      </w:r>
    </w:p>
    <w:p w:rsidR="00106634" w:rsidRPr="00890622" w:rsidRDefault="00106634" w:rsidP="00061D1C">
      <w:pPr>
        <w:autoSpaceDE w:val="0"/>
        <w:autoSpaceDN w:val="0"/>
        <w:adjustRightInd w:val="0"/>
        <w:rPr>
          <w:b/>
          <w:sz w:val="22"/>
          <w:szCs w:val="22"/>
        </w:rPr>
      </w:pPr>
    </w:p>
    <w:p w:rsidR="00106634" w:rsidRPr="00890622" w:rsidRDefault="00106634" w:rsidP="00061D1C">
      <w:pPr>
        <w:autoSpaceDE w:val="0"/>
        <w:autoSpaceDN w:val="0"/>
        <w:adjustRightInd w:val="0"/>
        <w:ind w:left="360"/>
        <w:rPr>
          <w:b/>
          <w:sz w:val="22"/>
          <w:szCs w:val="22"/>
        </w:rPr>
      </w:pPr>
      <w:r w:rsidRPr="00890622">
        <w:rPr>
          <w:b/>
          <w:sz w:val="22"/>
          <w:szCs w:val="22"/>
        </w:rPr>
        <w:t>Your client is confused because he thought the lower-rated bond (bond V) should offer a higher benchmark spread than the higher-rated bond (bond U). Explain why the benchmark spread may be lower for bond U.</w:t>
      </w:r>
    </w:p>
    <w:p w:rsidR="004F37B4" w:rsidRDefault="004F37B4" w:rsidP="00061D1C">
      <w:pPr>
        <w:autoSpaceDE w:val="0"/>
        <w:autoSpaceDN w:val="0"/>
        <w:adjustRightInd w:val="0"/>
        <w:ind w:left="360"/>
        <w:rPr>
          <w:sz w:val="22"/>
          <w:szCs w:val="22"/>
        </w:rPr>
      </w:pPr>
    </w:p>
    <w:p w:rsidR="00061D1C" w:rsidRPr="00890622" w:rsidRDefault="00061D1C" w:rsidP="00061D1C">
      <w:pPr>
        <w:autoSpaceDE w:val="0"/>
        <w:autoSpaceDN w:val="0"/>
        <w:adjustRightInd w:val="0"/>
        <w:ind w:left="360"/>
        <w:rPr>
          <w:sz w:val="22"/>
          <w:szCs w:val="22"/>
        </w:rPr>
      </w:pPr>
      <w:r w:rsidRPr="00890622">
        <w:rPr>
          <w:sz w:val="22"/>
          <w:szCs w:val="22"/>
        </w:rPr>
        <w:t xml:space="preserve">Since the </w:t>
      </w:r>
      <w:r w:rsidR="00106634" w:rsidRPr="00890622">
        <w:rPr>
          <w:sz w:val="22"/>
          <w:szCs w:val="22"/>
        </w:rPr>
        <w:t xml:space="preserve">lower rated bond (bond V) </w:t>
      </w:r>
      <w:r w:rsidRPr="00890622">
        <w:rPr>
          <w:sz w:val="22"/>
          <w:szCs w:val="22"/>
        </w:rPr>
        <w:t xml:space="preserve">has the smaller spread it is reasonable to infer one or </w:t>
      </w:r>
      <w:r w:rsidR="00B55DBC">
        <w:rPr>
          <w:sz w:val="22"/>
          <w:szCs w:val="22"/>
        </w:rPr>
        <w:t>more</w:t>
      </w:r>
      <w:r w:rsidRPr="00890622">
        <w:rPr>
          <w:sz w:val="22"/>
          <w:szCs w:val="22"/>
        </w:rPr>
        <w:t xml:space="preserve"> of the following: </w:t>
      </w:r>
    </w:p>
    <w:p w:rsidR="00061D1C" w:rsidRPr="00890622" w:rsidRDefault="00061D1C" w:rsidP="00DD2358">
      <w:pPr>
        <w:pStyle w:val="ListParagraph"/>
        <w:numPr>
          <w:ilvl w:val="0"/>
          <w:numId w:val="5"/>
        </w:numPr>
        <w:autoSpaceDE w:val="0"/>
        <w:autoSpaceDN w:val="0"/>
        <w:adjustRightInd w:val="0"/>
        <w:rPr>
          <w:sz w:val="22"/>
          <w:szCs w:val="22"/>
        </w:rPr>
      </w:pPr>
      <w:r w:rsidRPr="00890622">
        <w:rPr>
          <w:sz w:val="22"/>
          <w:szCs w:val="22"/>
        </w:rPr>
        <w:t xml:space="preserve">Bond U, the </w:t>
      </w:r>
      <w:r w:rsidR="00106634" w:rsidRPr="00890622">
        <w:rPr>
          <w:sz w:val="22"/>
          <w:szCs w:val="22"/>
        </w:rPr>
        <w:t>higher rated bond</w:t>
      </w:r>
      <w:r w:rsidRPr="00890622">
        <w:rPr>
          <w:sz w:val="22"/>
          <w:szCs w:val="22"/>
        </w:rPr>
        <w:t>, is</w:t>
      </w:r>
      <w:r w:rsidR="00325CD7" w:rsidRPr="00890622">
        <w:rPr>
          <w:sz w:val="22"/>
          <w:szCs w:val="22"/>
        </w:rPr>
        <w:t xml:space="preserve"> </w:t>
      </w:r>
      <w:r w:rsidR="00106634" w:rsidRPr="00890622">
        <w:rPr>
          <w:sz w:val="22"/>
          <w:szCs w:val="22"/>
        </w:rPr>
        <w:t>callable</w:t>
      </w:r>
      <w:r w:rsidRPr="00890622">
        <w:rPr>
          <w:sz w:val="22"/>
          <w:szCs w:val="22"/>
        </w:rPr>
        <w:t xml:space="preserve">. A call option is granted to the issuer so the holder is compensated with a higher yield. </w:t>
      </w:r>
    </w:p>
    <w:p w:rsidR="00106634" w:rsidRPr="00B55DBC" w:rsidRDefault="00061D1C" w:rsidP="00DD2358">
      <w:pPr>
        <w:pStyle w:val="ListParagraph"/>
        <w:numPr>
          <w:ilvl w:val="0"/>
          <w:numId w:val="5"/>
        </w:numPr>
        <w:autoSpaceDE w:val="0"/>
        <w:autoSpaceDN w:val="0"/>
        <w:adjustRightInd w:val="0"/>
        <w:rPr>
          <w:b/>
          <w:bCs/>
          <w:sz w:val="22"/>
          <w:szCs w:val="22"/>
        </w:rPr>
      </w:pPr>
      <w:r w:rsidRPr="00890622">
        <w:rPr>
          <w:sz w:val="22"/>
          <w:szCs w:val="22"/>
        </w:rPr>
        <w:t>Bond V, t</w:t>
      </w:r>
      <w:r w:rsidR="00106634" w:rsidRPr="00890622">
        <w:rPr>
          <w:sz w:val="22"/>
          <w:szCs w:val="22"/>
        </w:rPr>
        <w:t>he lower rated bond</w:t>
      </w:r>
      <w:r w:rsidRPr="00890622">
        <w:rPr>
          <w:sz w:val="22"/>
          <w:szCs w:val="22"/>
        </w:rPr>
        <w:t xml:space="preserve"> is </w:t>
      </w:r>
      <w:r w:rsidR="00106634" w:rsidRPr="00890622">
        <w:rPr>
          <w:sz w:val="22"/>
          <w:szCs w:val="22"/>
        </w:rPr>
        <w:t xml:space="preserve">putable or convertible. </w:t>
      </w:r>
      <w:r w:rsidRPr="00890622">
        <w:rPr>
          <w:sz w:val="22"/>
          <w:szCs w:val="22"/>
        </w:rPr>
        <w:t xml:space="preserve">A put option or convert option is granted to the holder so the issuer can pay a lower yield. </w:t>
      </w:r>
    </w:p>
    <w:p w:rsidR="00B55DBC" w:rsidRPr="00890622" w:rsidRDefault="00B55DBC" w:rsidP="00DD2358">
      <w:pPr>
        <w:pStyle w:val="ListParagraph"/>
        <w:numPr>
          <w:ilvl w:val="0"/>
          <w:numId w:val="5"/>
        </w:numPr>
        <w:autoSpaceDE w:val="0"/>
        <w:autoSpaceDN w:val="0"/>
        <w:adjustRightInd w:val="0"/>
        <w:rPr>
          <w:b/>
          <w:bCs/>
          <w:sz w:val="22"/>
          <w:szCs w:val="22"/>
        </w:rPr>
      </w:pPr>
      <w:r>
        <w:rPr>
          <w:sz w:val="22"/>
          <w:szCs w:val="22"/>
        </w:rPr>
        <w:t>The yield curve is very steep and Bond V is much “shorter” than bond U.</w:t>
      </w:r>
      <w:bookmarkStart w:id="0" w:name="_GoBack"/>
      <w:bookmarkEnd w:id="0"/>
    </w:p>
    <w:p w:rsidR="00106634" w:rsidRPr="00890622" w:rsidRDefault="00106634" w:rsidP="00106634">
      <w:pPr>
        <w:autoSpaceDE w:val="0"/>
        <w:autoSpaceDN w:val="0"/>
        <w:adjustRightInd w:val="0"/>
        <w:rPr>
          <w:b/>
          <w:bCs/>
          <w:sz w:val="22"/>
          <w:szCs w:val="22"/>
        </w:rPr>
      </w:pPr>
    </w:p>
    <w:p w:rsidR="00106634" w:rsidRPr="00890622" w:rsidRDefault="00106634" w:rsidP="00DD2358">
      <w:pPr>
        <w:pStyle w:val="ListParagraph"/>
        <w:numPr>
          <w:ilvl w:val="0"/>
          <w:numId w:val="4"/>
        </w:numPr>
        <w:autoSpaceDE w:val="0"/>
        <w:autoSpaceDN w:val="0"/>
        <w:adjustRightInd w:val="0"/>
        <w:rPr>
          <w:b/>
          <w:sz w:val="22"/>
          <w:szCs w:val="22"/>
        </w:rPr>
      </w:pPr>
      <w:r w:rsidRPr="00890622">
        <w:rPr>
          <w:b/>
          <w:sz w:val="22"/>
          <w:szCs w:val="22"/>
        </w:rPr>
        <w:t xml:space="preserve">In the May 29, 1992, </w:t>
      </w:r>
      <w:r w:rsidRPr="00890622">
        <w:rPr>
          <w:b/>
          <w:i/>
          <w:iCs/>
          <w:sz w:val="22"/>
          <w:szCs w:val="22"/>
        </w:rPr>
        <w:t xml:space="preserve">Weekly Market Update </w:t>
      </w:r>
      <w:r w:rsidRPr="00890622">
        <w:rPr>
          <w:b/>
          <w:sz w:val="22"/>
          <w:szCs w:val="22"/>
        </w:rPr>
        <w:t>published by Goldman, Sachs &amp; Co., the following information was reported in an exhibit for high-grade, tax-exempt securities as of the close of business Thursday, May 28, 1992:</w:t>
      </w:r>
    </w:p>
    <w:p w:rsidR="00106634" w:rsidRPr="00890622" w:rsidRDefault="00106634" w:rsidP="00106634">
      <w:pPr>
        <w:widowControl w:val="0"/>
        <w:autoSpaceDE w:val="0"/>
        <w:autoSpaceDN w:val="0"/>
        <w:adjustRightInd w:val="0"/>
        <w:rPr>
          <w:iCs/>
          <w:sz w:val="22"/>
          <w:szCs w:val="22"/>
        </w:rPr>
      </w:pPr>
    </w:p>
    <w:tbl>
      <w:tblPr>
        <w:tblW w:w="0" w:type="auto"/>
        <w:jc w:val="center"/>
        <w:tblCellMar>
          <w:left w:w="0" w:type="dxa"/>
          <w:right w:w="0" w:type="dxa"/>
        </w:tblCellMar>
        <w:tblLook w:val="01E0" w:firstRow="1" w:lastRow="1" w:firstColumn="1" w:lastColumn="1" w:noHBand="0" w:noVBand="0"/>
      </w:tblPr>
      <w:tblGrid>
        <w:gridCol w:w="1874"/>
        <w:gridCol w:w="1944"/>
        <w:gridCol w:w="3098"/>
      </w:tblGrid>
      <w:tr w:rsidR="00106634" w:rsidRPr="00890622" w:rsidTr="0099398B">
        <w:trPr>
          <w:jc w:val="center"/>
        </w:trPr>
        <w:tc>
          <w:tcPr>
            <w:tcW w:w="1874" w:type="dxa"/>
            <w:tcBorders>
              <w:bottom w:val="single" w:sz="4" w:space="0" w:color="auto"/>
            </w:tcBorders>
            <w:vAlign w:val="bottom"/>
          </w:tcPr>
          <w:p w:rsidR="00106634" w:rsidRPr="00890622" w:rsidRDefault="00106634" w:rsidP="00325CD7">
            <w:pPr>
              <w:widowControl w:val="0"/>
              <w:autoSpaceDE w:val="0"/>
              <w:autoSpaceDN w:val="0"/>
              <w:adjustRightInd w:val="0"/>
              <w:jc w:val="center"/>
              <w:rPr>
                <w:b/>
                <w:iCs/>
                <w:sz w:val="22"/>
                <w:szCs w:val="22"/>
              </w:rPr>
            </w:pPr>
          </w:p>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Maturity (years)</w:t>
            </w:r>
          </w:p>
        </w:tc>
        <w:tc>
          <w:tcPr>
            <w:tcW w:w="1944" w:type="dxa"/>
            <w:tcBorders>
              <w:bottom w:val="single" w:sz="4" w:space="0" w:color="auto"/>
            </w:tcBorders>
            <w:vAlign w:val="bottom"/>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Yield (%)</w:t>
            </w:r>
          </w:p>
        </w:tc>
        <w:tc>
          <w:tcPr>
            <w:tcW w:w="3098" w:type="dxa"/>
            <w:tcBorders>
              <w:bottom w:val="single" w:sz="4" w:space="0" w:color="auto"/>
            </w:tcBorders>
            <w:vAlign w:val="bottom"/>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Yield (%) as a Percentage of Treasury Yield</w:t>
            </w:r>
          </w:p>
        </w:tc>
      </w:tr>
      <w:tr w:rsidR="00106634" w:rsidRPr="00890622" w:rsidTr="0099398B">
        <w:trPr>
          <w:jc w:val="center"/>
        </w:trPr>
        <w:tc>
          <w:tcPr>
            <w:tcW w:w="1874" w:type="dxa"/>
            <w:tcBorders>
              <w:top w:val="single" w:sz="4" w:space="0" w:color="auto"/>
            </w:tcBorders>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1</w:t>
            </w:r>
          </w:p>
        </w:tc>
        <w:tc>
          <w:tcPr>
            <w:tcW w:w="1944" w:type="dxa"/>
            <w:tcBorders>
              <w:top w:val="single" w:sz="4" w:space="0" w:color="auto"/>
            </w:tcBorders>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3.20</w:t>
            </w:r>
          </w:p>
        </w:tc>
        <w:tc>
          <w:tcPr>
            <w:tcW w:w="3098" w:type="dxa"/>
            <w:tcBorders>
              <w:top w:val="single" w:sz="4" w:space="0" w:color="auto"/>
            </w:tcBorders>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76.5</w:t>
            </w:r>
          </w:p>
        </w:tc>
      </w:tr>
      <w:tr w:rsidR="00106634" w:rsidRPr="00890622" w:rsidTr="0099398B">
        <w:trPr>
          <w:jc w:val="center"/>
        </w:trPr>
        <w:tc>
          <w:tcPr>
            <w:tcW w:w="1874" w:type="dxa"/>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3</w:t>
            </w:r>
          </w:p>
        </w:tc>
        <w:tc>
          <w:tcPr>
            <w:tcW w:w="1944" w:type="dxa"/>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4.65</w:t>
            </w:r>
          </w:p>
        </w:tc>
        <w:tc>
          <w:tcPr>
            <w:tcW w:w="3098" w:type="dxa"/>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80.4</w:t>
            </w:r>
          </w:p>
        </w:tc>
      </w:tr>
      <w:tr w:rsidR="00106634" w:rsidRPr="00890622" w:rsidTr="0099398B">
        <w:trPr>
          <w:jc w:val="center"/>
        </w:trPr>
        <w:tc>
          <w:tcPr>
            <w:tcW w:w="1874" w:type="dxa"/>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5</w:t>
            </w:r>
          </w:p>
        </w:tc>
        <w:tc>
          <w:tcPr>
            <w:tcW w:w="1944" w:type="dxa"/>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5.10</w:t>
            </w:r>
          </w:p>
        </w:tc>
        <w:tc>
          <w:tcPr>
            <w:tcW w:w="3098" w:type="dxa"/>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76.4</w:t>
            </w:r>
          </w:p>
        </w:tc>
      </w:tr>
      <w:tr w:rsidR="00106634" w:rsidRPr="00890622" w:rsidTr="0099398B">
        <w:trPr>
          <w:jc w:val="center"/>
        </w:trPr>
        <w:tc>
          <w:tcPr>
            <w:tcW w:w="1874" w:type="dxa"/>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10</w:t>
            </w:r>
          </w:p>
        </w:tc>
        <w:tc>
          <w:tcPr>
            <w:tcW w:w="1944" w:type="dxa"/>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5.80</w:t>
            </w:r>
          </w:p>
        </w:tc>
        <w:tc>
          <w:tcPr>
            <w:tcW w:w="3098" w:type="dxa"/>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78.7</w:t>
            </w:r>
          </w:p>
        </w:tc>
      </w:tr>
      <w:tr w:rsidR="00106634" w:rsidRPr="00890622" w:rsidTr="0099398B">
        <w:trPr>
          <w:jc w:val="center"/>
        </w:trPr>
        <w:tc>
          <w:tcPr>
            <w:tcW w:w="1874" w:type="dxa"/>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30</w:t>
            </w:r>
          </w:p>
        </w:tc>
        <w:tc>
          <w:tcPr>
            <w:tcW w:w="1944" w:type="dxa"/>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6.50</w:t>
            </w:r>
          </w:p>
        </w:tc>
        <w:tc>
          <w:tcPr>
            <w:tcW w:w="3098" w:type="dxa"/>
          </w:tcPr>
          <w:p w:rsidR="00106634" w:rsidRPr="00890622" w:rsidRDefault="00106634" w:rsidP="00325CD7">
            <w:pPr>
              <w:widowControl w:val="0"/>
              <w:autoSpaceDE w:val="0"/>
              <w:autoSpaceDN w:val="0"/>
              <w:adjustRightInd w:val="0"/>
              <w:jc w:val="center"/>
              <w:rPr>
                <w:b/>
                <w:iCs/>
                <w:sz w:val="22"/>
                <w:szCs w:val="22"/>
              </w:rPr>
            </w:pPr>
            <w:r w:rsidRPr="00890622">
              <w:rPr>
                <w:b/>
                <w:iCs/>
                <w:sz w:val="22"/>
                <w:szCs w:val="22"/>
              </w:rPr>
              <w:t>82.5</w:t>
            </w:r>
          </w:p>
        </w:tc>
      </w:tr>
    </w:tbl>
    <w:p w:rsidR="00106634" w:rsidRPr="00890622" w:rsidRDefault="00106634" w:rsidP="00106634">
      <w:pPr>
        <w:widowControl w:val="0"/>
        <w:autoSpaceDE w:val="0"/>
        <w:autoSpaceDN w:val="0"/>
        <w:adjustRightInd w:val="0"/>
        <w:rPr>
          <w:sz w:val="22"/>
          <w:szCs w:val="22"/>
        </w:rPr>
      </w:pPr>
    </w:p>
    <w:p w:rsidR="00AC436F" w:rsidRPr="00890622" w:rsidRDefault="00AC436F" w:rsidP="00106634">
      <w:pPr>
        <w:widowControl w:val="0"/>
        <w:autoSpaceDE w:val="0"/>
        <w:autoSpaceDN w:val="0"/>
        <w:adjustRightInd w:val="0"/>
        <w:rPr>
          <w:sz w:val="22"/>
          <w:szCs w:val="22"/>
        </w:rPr>
      </w:pPr>
    </w:p>
    <w:p w:rsidR="00106634" w:rsidRPr="00890622" w:rsidRDefault="00106634" w:rsidP="00061D1C">
      <w:pPr>
        <w:widowControl w:val="0"/>
        <w:autoSpaceDE w:val="0"/>
        <w:autoSpaceDN w:val="0"/>
        <w:adjustRightInd w:val="0"/>
        <w:ind w:left="360"/>
        <w:rPr>
          <w:b/>
          <w:sz w:val="22"/>
          <w:szCs w:val="22"/>
        </w:rPr>
      </w:pPr>
      <w:r w:rsidRPr="00890622">
        <w:rPr>
          <w:b/>
          <w:sz w:val="22"/>
          <w:szCs w:val="22"/>
        </w:rPr>
        <w:t>Answer the below questions.</w:t>
      </w:r>
    </w:p>
    <w:p w:rsidR="00106634" w:rsidRPr="00890622" w:rsidRDefault="00106634" w:rsidP="00DD2358">
      <w:pPr>
        <w:pStyle w:val="ListParagraph"/>
        <w:widowControl w:val="0"/>
        <w:numPr>
          <w:ilvl w:val="0"/>
          <w:numId w:val="6"/>
        </w:numPr>
        <w:autoSpaceDE w:val="0"/>
        <w:autoSpaceDN w:val="0"/>
        <w:adjustRightInd w:val="0"/>
        <w:rPr>
          <w:b/>
          <w:sz w:val="22"/>
          <w:szCs w:val="22"/>
        </w:rPr>
      </w:pPr>
      <w:r w:rsidRPr="00890622">
        <w:rPr>
          <w:b/>
          <w:sz w:val="22"/>
          <w:szCs w:val="22"/>
        </w:rPr>
        <w:t>What is meant by a tax-exempt security?</w:t>
      </w:r>
    </w:p>
    <w:p w:rsidR="004F37B4" w:rsidRDefault="004F37B4" w:rsidP="00061D1C">
      <w:pPr>
        <w:widowControl w:val="0"/>
        <w:autoSpaceDE w:val="0"/>
        <w:autoSpaceDN w:val="0"/>
        <w:adjustRightInd w:val="0"/>
        <w:ind w:left="720"/>
        <w:rPr>
          <w:sz w:val="22"/>
          <w:szCs w:val="22"/>
        </w:rPr>
      </w:pPr>
    </w:p>
    <w:p w:rsidR="00AB2C2F" w:rsidRPr="00890622" w:rsidRDefault="00061D1C" w:rsidP="00061D1C">
      <w:pPr>
        <w:widowControl w:val="0"/>
        <w:autoSpaceDE w:val="0"/>
        <w:autoSpaceDN w:val="0"/>
        <w:adjustRightInd w:val="0"/>
        <w:ind w:left="720"/>
        <w:rPr>
          <w:sz w:val="22"/>
          <w:szCs w:val="22"/>
        </w:rPr>
      </w:pPr>
      <w:r w:rsidRPr="00890622">
        <w:rPr>
          <w:sz w:val="22"/>
          <w:szCs w:val="22"/>
        </w:rPr>
        <w:t xml:space="preserve">The holder of a tax-exempt security does not have to pay </w:t>
      </w:r>
      <w:r w:rsidR="00AB2C2F" w:rsidRPr="00890622">
        <w:rPr>
          <w:sz w:val="22"/>
          <w:szCs w:val="22"/>
        </w:rPr>
        <w:t>certain income taxes on the income from the coupon income form the bond.</w:t>
      </w:r>
      <w:r w:rsidR="00106634" w:rsidRPr="00890622">
        <w:rPr>
          <w:sz w:val="22"/>
          <w:szCs w:val="22"/>
        </w:rPr>
        <w:t xml:space="preserve"> </w:t>
      </w:r>
      <w:r w:rsidR="00AB2C2F" w:rsidRPr="00890622">
        <w:rPr>
          <w:sz w:val="22"/>
          <w:szCs w:val="22"/>
        </w:rPr>
        <w:t xml:space="preserve">Income earned by qualified buyers of </w:t>
      </w:r>
      <w:r w:rsidR="00106634" w:rsidRPr="00890622">
        <w:rPr>
          <w:sz w:val="22"/>
          <w:szCs w:val="22"/>
        </w:rPr>
        <w:t xml:space="preserve">municipal bond issues are exempt from federal taxes. </w:t>
      </w:r>
    </w:p>
    <w:p w:rsidR="00AB2C2F" w:rsidRPr="00890622" w:rsidRDefault="00AB2C2F" w:rsidP="00061D1C">
      <w:pPr>
        <w:widowControl w:val="0"/>
        <w:autoSpaceDE w:val="0"/>
        <w:autoSpaceDN w:val="0"/>
        <w:adjustRightInd w:val="0"/>
        <w:ind w:left="720"/>
        <w:rPr>
          <w:sz w:val="22"/>
          <w:szCs w:val="22"/>
        </w:rPr>
      </w:pPr>
    </w:p>
    <w:p w:rsidR="00106634" w:rsidRPr="00890622" w:rsidRDefault="00106634" w:rsidP="00061D1C">
      <w:pPr>
        <w:widowControl w:val="0"/>
        <w:autoSpaceDE w:val="0"/>
        <w:autoSpaceDN w:val="0"/>
        <w:adjustRightInd w:val="0"/>
        <w:ind w:left="720"/>
        <w:rPr>
          <w:b/>
          <w:sz w:val="22"/>
          <w:szCs w:val="22"/>
        </w:rPr>
      </w:pPr>
      <w:r w:rsidRPr="00890622">
        <w:rPr>
          <w:sz w:val="22"/>
          <w:szCs w:val="22"/>
        </w:rPr>
        <w:t>The tax-exempt aspect can affect the spread. For example, part of the spread between Treasury securities and taxable non-Treasury securities of the same maturity reflects the value of the exemption from state and local taxes.</w:t>
      </w:r>
    </w:p>
    <w:p w:rsidR="00966AB1" w:rsidRDefault="00966AB1" w:rsidP="00106634">
      <w:pPr>
        <w:widowControl w:val="0"/>
        <w:autoSpaceDE w:val="0"/>
        <w:autoSpaceDN w:val="0"/>
        <w:adjustRightInd w:val="0"/>
        <w:rPr>
          <w:b/>
          <w:sz w:val="22"/>
          <w:szCs w:val="22"/>
        </w:rPr>
      </w:pPr>
    </w:p>
    <w:p w:rsidR="004F37B4" w:rsidRDefault="004F37B4" w:rsidP="00106634">
      <w:pPr>
        <w:widowControl w:val="0"/>
        <w:autoSpaceDE w:val="0"/>
        <w:autoSpaceDN w:val="0"/>
        <w:adjustRightInd w:val="0"/>
        <w:rPr>
          <w:b/>
          <w:sz w:val="22"/>
          <w:szCs w:val="22"/>
        </w:rPr>
      </w:pPr>
    </w:p>
    <w:p w:rsidR="004F37B4" w:rsidRPr="00890622" w:rsidRDefault="004F37B4" w:rsidP="00106634">
      <w:pPr>
        <w:widowControl w:val="0"/>
        <w:autoSpaceDE w:val="0"/>
        <w:autoSpaceDN w:val="0"/>
        <w:adjustRightInd w:val="0"/>
        <w:rPr>
          <w:b/>
          <w:sz w:val="22"/>
          <w:szCs w:val="22"/>
        </w:rPr>
      </w:pPr>
    </w:p>
    <w:p w:rsidR="00106634" w:rsidRPr="00890622" w:rsidRDefault="00106634" w:rsidP="00DD2358">
      <w:pPr>
        <w:pStyle w:val="ListParagraph"/>
        <w:widowControl w:val="0"/>
        <w:numPr>
          <w:ilvl w:val="0"/>
          <w:numId w:val="6"/>
        </w:numPr>
        <w:autoSpaceDE w:val="0"/>
        <w:autoSpaceDN w:val="0"/>
        <w:adjustRightInd w:val="0"/>
        <w:rPr>
          <w:b/>
          <w:sz w:val="22"/>
          <w:szCs w:val="22"/>
        </w:rPr>
      </w:pPr>
      <w:r w:rsidRPr="00890622">
        <w:rPr>
          <w:b/>
          <w:sz w:val="22"/>
          <w:szCs w:val="22"/>
        </w:rPr>
        <w:t>What is meant by high-grade issue?</w:t>
      </w:r>
      <w:r w:rsidR="00966AB1" w:rsidRPr="00890622">
        <w:rPr>
          <w:b/>
          <w:sz w:val="22"/>
          <w:szCs w:val="22"/>
        </w:rPr>
        <w:t xml:space="preserve">  Bonus:  What is meant by high-yield issue?</w:t>
      </w:r>
    </w:p>
    <w:p w:rsidR="004F37B4" w:rsidRDefault="004F37B4" w:rsidP="0099398B">
      <w:pPr>
        <w:widowControl w:val="0"/>
        <w:autoSpaceDE w:val="0"/>
        <w:autoSpaceDN w:val="0"/>
        <w:adjustRightInd w:val="0"/>
        <w:ind w:left="720"/>
        <w:rPr>
          <w:sz w:val="22"/>
          <w:szCs w:val="22"/>
        </w:rPr>
      </w:pPr>
    </w:p>
    <w:p w:rsidR="0099398B" w:rsidRPr="00890622" w:rsidRDefault="0099398B" w:rsidP="0099398B">
      <w:pPr>
        <w:widowControl w:val="0"/>
        <w:autoSpaceDE w:val="0"/>
        <w:autoSpaceDN w:val="0"/>
        <w:adjustRightInd w:val="0"/>
        <w:ind w:left="720"/>
        <w:rPr>
          <w:sz w:val="22"/>
          <w:szCs w:val="22"/>
        </w:rPr>
      </w:pPr>
      <w:r w:rsidRPr="00890622">
        <w:rPr>
          <w:sz w:val="22"/>
          <w:szCs w:val="22"/>
        </w:rPr>
        <w:t>High-grade means low credit risk so lower coupon rates and YTMs.</w:t>
      </w:r>
    </w:p>
    <w:p w:rsidR="0099398B" w:rsidRPr="00890622" w:rsidRDefault="0099398B" w:rsidP="0099398B">
      <w:pPr>
        <w:widowControl w:val="0"/>
        <w:autoSpaceDE w:val="0"/>
        <w:autoSpaceDN w:val="0"/>
        <w:adjustRightInd w:val="0"/>
        <w:ind w:left="720"/>
        <w:rPr>
          <w:sz w:val="22"/>
          <w:szCs w:val="22"/>
        </w:rPr>
      </w:pPr>
      <w:r w:rsidRPr="00890622">
        <w:rPr>
          <w:sz w:val="22"/>
          <w:szCs w:val="22"/>
        </w:rPr>
        <w:t>High grade bonds have AAA, AA and A credit ratings.</w:t>
      </w:r>
    </w:p>
    <w:p w:rsidR="0099398B" w:rsidRPr="00890622" w:rsidRDefault="0099398B" w:rsidP="0099398B">
      <w:pPr>
        <w:widowControl w:val="0"/>
        <w:autoSpaceDE w:val="0"/>
        <w:autoSpaceDN w:val="0"/>
        <w:adjustRightInd w:val="0"/>
        <w:ind w:left="720"/>
        <w:rPr>
          <w:sz w:val="22"/>
          <w:szCs w:val="22"/>
        </w:rPr>
      </w:pPr>
    </w:p>
    <w:p w:rsidR="0099398B" w:rsidRPr="00890622" w:rsidRDefault="0099398B" w:rsidP="0099398B">
      <w:pPr>
        <w:widowControl w:val="0"/>
        <w:autoSpaceDE w:val="0"/>
        <w:autoSpaceDN w:val="0"/>
        <w:adjustRightInd w:val="0"/>
        <w:ind w:left="720"/>
        <w:rPr>
          <w:sz w:val="22"/>
          <w:szCs w:val="22"/>
        </w:rPr>
      </w:pPr>
      <w:r w:rsidRPr="00890622">
        <w:rPr>
          <w:sz w:val="22"/>
          <w:szCs w:val="22"/>
        </w:rPr>
        <w:t>High-yield means high credit risk so high coupons and high YTMs.</w:t>
      </w:r>
    </w:p>
    <w:p w:rsidR="0099398B" w:rsidRPr="00890622" w:rsidRDefault="0099398B" w:rsidP="0099398B">
      <w:pPr>
        <w:widowControl w:val="0"/>
        <w:autoSpaceDE w:val="0"/>
        <w:autoSpaceDN w:val="0"/>
        <w:adjustRightInd w:val="0"/>
        <w:ind w:left="720"/>
        <w:rPr>
          <w:sz w:val="22"/>
          <w:szCs w:val="22"/>
        </w:rPr>
      </w:pPr>
      <w:r w:rsidRPr="00890622">
        <w:rPr>
          <w:sz w:val="22"/>
          <w:szCs w:val="22"/>
        </w:rPr>
        <w:t xml:space="preserve">High yield bonds have ratings BB and below. </w:t>
      </w:r>
    </w:p>
    <w:p w:rsidR="0099398B" w:rsidRPr="00890622" w:rsidRDefault="0099398B" w:rsidP="0099398B">
      <w:pPr>
        <w:widowControl w:val="0"/>
        <w:autoSpaceDE w:val="0"/>
        <w:autoSpaceDN w:val="0"/>
        <w:adjustRightInd w:val="0"/>
        <w:rPr>
          <w:b/>
          <w:sz w:val="22"/>
          <w:szCs w:val="22"/>
        </w:rPr>
      </w:pPr>
    </w:p>
    <w:p w:rsidR="0099398B" w:rsidRPr="00890622" w:rsidRDefault="0099398B" w:rsidP="00DD2358">
      <w:pPr>
        <w:pStyle w:val="ListParagraph"/>
        <w:widowControl w:val="0"/>
        <w:numPr>
          <w:ilvl w:val="0"/>
          <w:numId w:val="6"/>
        </w:numPr>
        <w:autoSpaceDE w:val="0"/>
        <w:autoSpaceDN w:val="0"/>
        <w:adjustRightInd w:val="0"/>
        <w:rPr>
          <w:b/>
          <w:sz w:val="22"/>
          <w:szCs w:val="22"/>
        </w:rPr>
      </w:pPr>
      <w:r w:rsidRPr="00890622">
        <w:rPr>
          <w:b/>
          <w:sz w:val="22"/>
          <w:szCs w:val="22"/>
        </w:rPr>
        <w:t>Why is the yield on a tax-exempt security less than the yield on a Treasury security of the same maturity?</w:t>
      </w:r>
    </w:p>
    <w:p w:rsidR="004F37B4" w:rsidRDefault="004F37B4" w:rsidP="0099398B">
      <w:pPr>
        <w:widowControl w:val="0"/>
        <w:autoSpaceDE w:val="0"/>
        <w:autoSpaceDN w:val="0"/>
        <w:adjustRightInd w:val="0"/>
        <w:ind w:left="720"/>
        <w:rPr>
          <w:sz w:val="22"/>
          <w:szCs w:val="22"/>
        </w:rPr>
      </w:pPr>
    </w:p>
    <w:p w:rsidR="00106634" w:rsidRPr="00890622" w:rsidRDefault="00106634" w:rsidP="0099398B">
      <w:pPr>
        <w:widowControl w:val="0"/>
        <w:autoSpaceDE w:val="0"/>
        <w:autoSpaceDN w:val="0"/>
        <w:adjustRightInd w:val="0"/>
        <w:ind w:left="720"/>
        <w:rPr>
          <w:sz w:val="22"/>
          <w:szCs w:val="22"/>
        </w:rPr>
      </w:pPr>
      <w:r w:rsidRPr="00890622">
        <w:rPr>
          <w:sz w:val="22"/>
          <w:szCs w:val="22"/>
        </w:rPr>
        <w:t>The yield on a tax-exempt security is less because investors are ex</w:t>
      </w:r>
      <w:r w:rsidR="00966AB1" w:rsidRPr="00890622">
        <w:rPr>
          <w:sz w:val="22"/>
          <w:szCs w:val="22"/>
        </w:rPr>
        <w:t xml:space="preserve">empt from </w:t>
      </w:r>
      <w:r w:rsidRPr="00890622">
        <w:rPr>
          <w:sz w:val="22"/>
          <w:szCs w:val="22"/>
        </w:rPr>
        <w:t>certain taxes (e.g., federal, state, or local).</w:t>
      </w:r>
    </w:p>
    <w:p w:rsidR="0099398B" w:rsidRPr="00890622" w:rsidRDefault="0099398B" w:rsidP="0099398B">
      <w:pPr>
        <w:widowControl w:val="0"/>
        <w:autoSpaceDE w:val="0"/>
        <w:autoSpaceDN w:val="0"/>
        <w:adjustRightInd w:val="0"/>
        <w:ind w:left="720"/>
        <w:rPr>
          <w:sz w:val="22"/>
          <w:szCs w:val="22"/>
        </w:rPr>
      </w:pPr>
    </w:p>
    <w:p w:rsidR="00106634" w:rsidRPr="00890622" w:rsidRDefault="00106634" w:rsidP="00DD2358">
      <w:pPr>
        <w:pStyle w:val="ListParagraph"/>
        <w:widowControl w:val="0"/>
        <w:numPr>
          <w:ilvl w:val="0"/>
          <w:numId w:val="6"/>
        </w:numPr>
        <w:autoSpaceDE w:val="0"/>
        <w:autoSpaceDN w:val="0"/>
        <w:adjustRightInd w:val="0"/>
        <w:rPr>
          <w:b/>
          <w:sz w:val="22"/>
          <w:szCs w:val="22"/>
        </w:rPr>
      </w:pPr>
      <w:r w:rsidRPr="00890622">
        <w:rPr>
          <w:b/>
          <w:sz w:val="22"/>
          <w:szCs w:val="22"/>
        </w:rPr>
        <w:t>What is the equivalent taxable yield?</w:t>
      </w:r>
    </w:p>
    <w:p w:rsidR="004F37B4" w:rsidRDefault="004F37B4" w:rsidP="0099398B">
      <w:pPr>
        <w:widowControl w:val="0"/>
        <w:autoSpaceDE w:val="0"/>
        <w:autoSpaceDN w:val="0"/>
        <w:adjustRightInd w:val="0"/>
        <w:ind w:left="720"/>
        <w:rPr>
          <w:sz w:val="22"/>
          <w:szCs w:val="22"/>
        </w:rPr>
      </w:pPr>
    </w:p>
    <w:p w:rsidR="00106634" w:rsidRPr="00890622" w:rsidRDefault="0099398B" w:rsidP="0099398B">
      <w:pPr>
        <w:widowControl w:val="0"/>
        <w:autoSpaceDE w:val="0"/>
        <w:autoSpaceDN w:val="0"/>
        <w:adjustRightInd w:val="0"/>
        <w:ind w:left="720"/>
        <w:rPr>
          <w:sz w:val="22"/>
          <w:szCs w:val="22"/>
        </w:rPr>
      </w:pPr>
      <w:r w:rsidRPr="00890622">
        <w:rPr>
          <w:sz w:val="22"/>
          <w:szCs w:val="22"/>
        </w:rPr>
        <w:t>T</w:t>
      </w:r>
      <w:r w:rsidR="00106634" w:rsidRPr="00890622">
        <w:rPr>
          <w:sz w:val="22"/>
          <w:szCs w:val="22"/>
        </w:rPr>
        <w:t xml:space="preserve">he yield that must be on a taxable bond </w:t>
      </w:r>
      <w:r w:rsidR="004F37B4">
        <w:rPr>
          <w:sz w:val="22"/>
          <w:szCs w:val="22"/>
        </w:rPr>
        <w:t xml:space="preserve">that </w:t>
      </w:r>
      <w:r w:rsidR="00106634" w:rsidRPr="00890622">
        <w:rPr>
          <w:sz w:val="22"/>
          <w:szCs w:val="22"/>
        </w:rPr>
        <w:t>give</w:t>
      </w:r>
      <w:r w:rsidR="004F37B4">
        <w:rPr>
          <w:sz w:val="22"/>
          <w:szCs w:val="22"/>
        </w:rPr>
        <w:t>s</w:t>
      </w:r>
      <w:r w:rsidR="00106634" w:rsidRPr="00890622">
        <w:rPr>
          <w:sz w:val="22"/>
          <w:szCs w:val="22"/>
        </w:rPr>
        <w:t xml:space="preserve"> the same after-tax yield as a tax-exempt issue. </w:t>
      </w:r>
    </w:p>
    <w:p w:rsidR="00106634" w:rsidRPr="00890622" w:rsidRDefault="00966AB1" w:rsidP="0099398B">
      <w:pPr>
        <w:widowControl w:val="0"/>
        <w:autoSpaceDE w:val="0"/>
        <w:autoSpaceDN w:val="0"/>
        <w:adjustRightInd w:val="0"/>
        <w:ind w:left="720"/>
        <w:rPr>
          <w:sz w:val="22"/>
          <w:szCs w:val="22"/>
        </w:rPr>
      </w:pPr>
      <w:r w:rsidRPr="00890622">
        <w:rPr>
          <w:sz w:val="22"/>
          <w:szCs w:val="22"/>
        </w:rPr>
        <w:t>E</w:t>
      </w:r>
      <w:r w:rsidR="00106634" w:rsidRPr="00890622">
        <w:rPr>
          <w:sz w:val="22"/>
          <w:szCs w:val="22"/>
        </w:rPr>
        <w:t xml:space="preserve">quivalent </w:t>
      </w:r>
      <w:r w:rsidRPr="00890622">
        <w:rPr>
          <w:sz w:val="22"/>
          <w:szCs w:val="22"/>
        </w:rPr>
        <w:t>T</w:t>
      </w:r>
      <w:r w:rsidR="00106634" w:rsidRPr="00890622">
        <w:rPr>
          <w:sz w:val="22"/>
          <w:szCs w:val="22"/>
        </w:rPr>
        <w:t xml:space="preserve">axable </w:t>
      </w:r>
      <w:r w:rsidRPr="00890622">
        <w:rPr>
          <w:sz w:val="22"/>
          <w:szCs w:val="22"/>
        </w:rPr>
        <w:t>Y</w:t>
      </w:r>
      <w:r w:rsidR="00106634" w:rsidRPr="00890622">
        <w:rPr>
          <w:sz w:val="22"/>
          <w:szCs w:val="22"/>
        </w:rPr>
        <w:t xml:space="preserve">ield = </w:t>
      </w:r>
      <w:r w:rsidR="0099398B" w:rsidRPr="00890622">
        <w:rPr>
          <w:sz w:val="22"/>
          <w:szCs w:val="22"/>
        </w:rPr>
        <w:t>(Tax-Exempt Yield)/(1 – Marginal Tax rate)</w:t>
      </w:r>
    </w:p>
    <w:p w:rsidR="00106634" w:rsidRPr="00890622" w:rsidRDefault="00106634" w:rsidP="00106634">
      <w:pPr>
        <w:widowControl w:val="0"/>
        <w:autoSpaceDE w:val="0"/>
        <w:autoSpaceDN w:val="0"/>
        <w:adjustRightInd w:val="0"/>
        <w:rPr>
          <w:sz w:val="22"/>
          <w:szCs w:val="22"/>
        </w:rPr>
      </w:pPr>
    </w:p>
    <w:p w:rsidR="00106634" w:rsidRPr="00890622" w:rsidRDefault="00106634" w:rsidP="00DD2358">
      <w:pPr>
        <w:pStyle w:val="ListParagraph"/>
        <w:widowControl w:val="0"/>
        <w:numPr>
          <w:ilvl w:val="0"/>
          <w:numId w:val="6"/>
        </w:numPr>
        <w:autoSpaceDE w:val="0"/>
        <w:autoSpaceDN w:val="0"/>
        <w:adjustRightInd w:val="0"/>
        <w:rPr>
          <w:b/>
          <w:sz w:val="22"/>
          <w:szCs w:val="22"/>
        </w:rPr>
      </w:pPr>
      <w:r w:rsidRPr="00890622">
        <w:rPr>
          <w:b/>
          <w:sz w:val="22"/>
          <w:szCs w:val="22"/>
        </w:rPr>
        <w:t>Also reported in the same issue of the Goldman, Sachs report is information on intra</w:t>
      </w:r>
      <w:r w:rsidR="00966AB1" w:rsidRPr="00890622">
        <w:rPr>
          <w:b/>
          <w:sz w:val="22"/>
          <w:szCs w:val="22"/>
        </w:rPr>
        <w:t>-</w:t>
      </w:r>
      <w:r w:rsidRPr="00890622">
        <w:rPr>
          <w:b/>
          <w:sz w:val="22"/>
          <w:szCs w:val="22"/>
        </w:rPr>
        <w:t>market yield spreads. What are these?</w:t>
      </w:r>
    </w:p>
    <w:p w:rsidR="004F37B4" w:rsidRDefault="004F37B4" w:rsidP="0099398B">
      <w:pPr>
        <w:widowControl w:val="0"/>
        <w:autoSpaceDE w:val="0"/>
        <w:autoSpaceDN w:val="0"/>
        <w:adjustRightInd w:val="0"/>
        <w:ind w:left="720"/>
        <w:rPr>
          <w:spacing w:val="-2"/>
          <w:sz w:val="22"/>
          <w:szCs w:val="22"/>
        </w:rPr>
      </w:pPr>
    </w:p>
    <w:p w:rsidR="00106634" w:rsidRPr="00890622" w:rsidRDefault="00106634" w:rsidP="0099398B">
      <w:pPr>
        <w:widowControl w:val="0"/>
        <w:autoSpaceDE w:val="0"/>
        <w:autoSpaceDN w:val="0"/>
        <w:adjustRightInd w:val="0"/>
        <w:ind w:left="720"/>
        <w:rPr>
          <w:spacing w:val="-2"/>
          <w:sz w:val="22"/>
          <w:szCs w:val="22"/>
        </w:rPr>
      </w:pPr>
      <w:r w:rsidRPr="00890622">
        <w:rPr>
          <w:spacing w:val="-2"/>
          <w:sz w:val="22"/>
          <w:szCs w:val="22"/>
        </w:rPr>
        <w:t>An intra</w:t>
      </w:r>
      <w:r w:rsidR="00966AB1" w:rsidRPr="00890622">
        <w:rPr>
          <w:spacing w:val="-2"/>
          <w:sz w:val="22"/>
          <w:szCs w:val="22"/>
        </w:rPr>
        <w:t>-</w:t>
      </w:r>
      <w:r w:rsidRPr="00890622">
        <w:rPr>
          <w:spacing w:val="-2"/>
          <w:sz w:val="22"/>
          <w:szCs w:val="22"/>
        </w:rPr>
        <w:t>market yield spread is the spread between two issues within a market sector. Examples of market sectors include the U.S. government, U.S. government agencies, municipal governments, credit (domestic and foreign corporations), and foreign governments.</w:t>
      </w:r>
    </w:p>
    <w:p w:rsidR="0099398B" w:rsidRPr="00890622" w:rsidRDefault="0099398B" w:rsidP="0099398B">
      <w:pPr>
        <w:widowControl w:val="0"/>
        <w:autoSpaceDE w:val="0"/>
        <w:autoSpaceDN w:val="0"/>
        <w:adjustRightInd w:val="0"/>
        <w:ind w:left="720"/>
        <w:rPr>
          <w:spacing w:val="-2"/>
          <w:sz w:val="22"/>
          <w:szCs w:val="22"/>
        </w:rPr>
      </w:pPr>
    </w:p>
    <w:p w:rsidR="00106634" w:rsidRPr="00890622" w:rsidRDefault="00106634" w:rsidP="00DD2358">
      <w:pPr>
        <w:pStyle w:val="ListParagraph"/>
        <w:numPr>
          <w:ilvl w:val="0"/>
          <w:numId w:val="4"/>
        </w:numPr>
        <w:autoSpaceDE w:val="0"/>
        <w:autoSpaceDN w:val="0"/>
        <w:adjustRightInd w:val="0"/>
        <w:rPr>
          <w:b/>
          <w:sz w:val="22"/>
          <w:szCs w:val="22"/>
        </w:rPr>
      </w:pPr>
      <w:r w:rsidRPr="00890622">
        <w:rPr>
          <w:b/>
          <w:sz w:val="22"/>
          <w:szCs w:val="22"/>
        </w:rPr>
        <w:t>Answer the below questions.</w:t>
      </w:r>
    </w:p>
    <w:p w:rsidR="0099398B" w:rsidRPr="00890622" w:rsidRDefault="0099398B" w:rsidP="0099398B">
      <w:pPr>
        <w:pStyle w:val="ListParagraph"/>
        <w:widowControl w:val="0"/>
        <w:autoSpaceDE w:val="0"/>
        <w:autoSpaceDN w:val="0"/>
        <w:adjustRightInd w:val="0"/>
        <w:rPr>
          <w:b/>
          <w:sz w:val="22"/>
          <w:szCs w:val="22"/>
        </w:rPr>
      </w:pPr>
    </w:p>
    <w:p w:rsidR="00106634" w:rsidRPr="00890622" w:rsidRDefault="00106634" w:rsidP="00DD2358">
      <w:pPr>
        <w:pStyle w:val="ListParagraph"/>
        <w:widowControl w:val="0"/>
        <w:numPr>
          <w:ilvl w:val="0"/>
          <w:numId w:val="7"/>
        </w:numPr>
        <w:autoSpaceDE w:val="0"/>
        <w:autoSpaceDN w:val="0"/>
        <w:adjustRightInd w:val="0"/>
        <w:rPr>
          <w:b/>
          <w:sz w:val="22"/>
          <w:szCs w:val="22"/>
        </w:rPr>
      </w:pPr>
      <w:r w:rsidRPr="00890622">
        <w:rPr>
          <w:b/>
          <w:sz w:val="22"/>
          <w:szCs w:val="22"/>
        </w:rPr>
        <w:t>What is an embedded option in a bond?</w:t>
      </w:r>
    </w:p>
    <w:p w:rsidR="004F37B4" w:rsidRDefault="004F37B4" w:rsidP="0099398B">
      <w:pPr>
        <w:widowControl w:val="0"/>
        <w:autoSpaceDE w:val="0"/>
        <w:autoSpaceDN w:val="0"/>
        <w:adjustRightInd w:val="0"/>
        <w:ind w:left="720"/>
        <w:rPr>
          <w:sz w:val="22"/>
          <w:szCs w:val="22"/>
        </w:rPr>
      </w:pPr>
    </w:p>
    <w:p w:rsidR="00106634" w:rsidRPr="00890622" w:rsidRDefault="00197720" w:rsidP="0099398B">
      <w:pPr>
        <w:widowControl w:val="0"/>
        <w:autoSpaceDE w:val="0"/>
        <w:autoSpaceDN w:val="0"/>
        <w:adjustRightInd w:val="0"/>
        <w:ind w:left="720"/>
        <w:rPr>
          <w:sz w:val="22"/>
          <w:szCs w:val="22"/>
        </w:rPr>
      </w:pPr>
      <w:r w:rsidRPr="00890622">
        <w:rPr>
          <w:sz w:val="22"/>
          <w:szCs w:val="22"/>
        </w:rPr>
        <w:t>A</w:t>
      </w:r>
      <w:r w:rsidR="00106634" w:rsidRPr="00890622">
        <w:rPr>
          <w:sz w:val="22"/>
          <w:szCs w:val="22"/>
        </w:rPr>
        <w:t xml:space="preserve"> </w:t>
      </w:r>
      <w:r w:rsidR="0099398B" w:rsidRPr="00890622">
        <w:rPr>
          <w:sz w:val="22"/>
          <w:szCs w:val="22"/>
        </w:rPr>
        <w:t xml:space="preserve">clause in a bond contract </w:t>
      </w:r>
      <w:r w:rsidR="00106634" w:rsidRPr="00890622">
        <w:rPr>
          <w:sz w:val="22"/>
          <w:szCs w:val="22"/>
        </w:rPr>
        <w:t xml:space="preserve">that includes a provision giving either the bondholder and/or the issuer </w:t>
      </w:r>
      <w:r w:rsidRPr="00890622">
        <w:rPr>
          <w:sz w:val="22"/>
          <w:szCs w:val="22"/>
        </w:rPr>
        <w:t>the</w:t>
      </w:r>
      <w:r w:rsidR="00106634" w:rsidRPr="00890622">
        <w:rPr>
          <w:sz w:val="22"/>
          <w:szCs w:val="22"/>
        </w:rPr>
        <w:t xml:space="preserve"> option to </w:t>
      </w:r>
      <w:r w:rsidR="00CA57D6">
        <w:rPr>
          <w:sz w:val="22"/>
          <w:szCs w:val="22"/>
        </w:rPr>
        <w:t xml:space="preserve">require </w:t>
      </w:r>
      <w:r w:rsidR="00106634" w:rsidRPr="00890622">
        <w:rPr>
          <w:sz w:val="22"/>
          <w:szCs w:val="22"/>
        </w:rPr>
        <w:t xml:space="preserve">action </w:t>
      </w:r>
      <w:r w:rsidR="00CA57D6">
        <w:rPr>
          <w:sz w:val="22"/>
          <w:szCs w:val="22"/>
        </w:rPr>
        <w:t xml:space="preserve">of </w:t>
      </w:r>
      <w:r w:rsidR="00106634" w:rsidRPr="00890622">
        <w:rPr>
          <w:sz w:val="22"/>
          <w:szCs w:val="22"/>
        </w:rPr>
        <w:t xml:space="preserve">the other party. </w:t>
      </w:r>
    </w:p>
    <w:p w:rsidR="0099398B" w:rsidRPr="00890622" w:rsidRDefault="0099398B" w:rsidP="0099398B">
      <w:pPr>
        <w:widowControl w:val="0"/>
        <w:autoSpaceDE w:val="0"/>
        <w:autoSpaceDN w:val="0"/>
        <w:adjustRightInd w:val="0"/>
        <w:rPr>
          <w:b/>
          <w:sz w:val="22"/>
          <w:szCs w:val="22"/>
        </w:rPr>
      </w:pPr>
    </w:p>
    <w:p w:rsidR="00106634" w:rsidRPr="00890622" w:rsidRDefault="00106634" w:rsidP="00DD2358">
      <w:pPr>
        <w:pStyle w:val="ListParagraph"/>
        <w:widowControl w:val="0"/>
        <w:numPr>
          <w:ilvl w:val="0"/>
          <w:numId w:val="7"/>
        </w:numPr>
        <w:autoSpaceDE w:val="0"/>
        <w:autoSpaceDN w:val="0"/>
        <w:adjustRightInd w:val="0"/>
        <w:rPr>
          <w:b/>
          <w:sz w:val="22"/>
          <w:szCs w:val="22"/>
        </w:rPr>
      </w:pPr>
      <w:r w:rsidRPr="00890622">
        <w:rPr>
          <w:b/>
          <w:sz w:val="22"/>
          <w:szCs w:val="22"/>
        </w:rPr>
        <w:t>Give three examples of an embedded option that might be included in a bond issue.</w:t>
      </w:r>
    </w:p>
    <w:p w:rsidR="004F37B4" w:rsidRDefault="004F37B4" w:rsidP="004F37B4">
      <w:pPr>
        <w:pStyle w:val="ListParagraph"/>
        <w:widowControl w:val="0"/>
        <w:autoSpaceDE w:val="0"/>
        <w:autoSpaceDN w:val="0"/>
        <w:adjustRightInd w:val="0"/>
        <w:ind w:left="1080"/>
        <w:rPr>
          <w:sz w:val="22"/>
          <w:szCs w:val="22"/>
        </w:rPr>
      </w:pPr>
    </w:p>
    <w:p w:rsidR="00106634" w:rsidRPr="00890622" w:rsidRDefault="00197720" w:rsidP="00DD2358">
      <w:pPr>
        <w:pStyle w:val="ListParagraph"/>
        <w:widowControl w:val="0"/>
        <w:numPr>
          <w:ilvl w:val="0"/>
          <w:numId w:val="2"/>
        </w:numPr>
        <w:autoSpaceDE w:val="0"/>
        <w:autoSpaceDN w:val="0"/>
        <w:adjustRightInd w:val="0"/>
        <w:rPr>
          <w:sz w:val="22"/>
          <w:szCs w:val="22"/>
        </w:rPr>
      </w:pPr>
      <w:r w:rsidRPr="00890622">
        <w:rPr>
          <w:sz w:val="22"/>
          <w:szCs w:val="22"/>
        </w:rPr>
        <w:t>A</w:t>
      </w:r>
      <w:r w:rsidR="00106634" w:rsidRPr="00890622">
        <w:rPr>
          <w:sz w:val="22"/>
          <w:szCs w:val="22"/>
        </w:rPr>
        <w:t xml:space="preserve"> </w:t>
      </w:r>
      <w:r w:rsidR="00106634" w:rsidRPr="00CA57D6">
        <w:rPr>
          <w:b/>
          <w:i/>
          <w:sz w:val="22"/>
          <w:szCs w:val="22"/>
        </w:rPr>
        <w:t>callable</w:t>
      </w:r>
      <w:r w:rsidR="00106634" w:rsidRPr="00890622">
        <w:rPr>
          <w:sz w:val="22"/>
          <w:szCs w:val="22"/>
        </w:rPr>
        <w:t xml:space="preserve"> bond</w:t>
      </w:r>
      <w:r w:rsidRPr="00890622">
        <w:rPr>
          <w:sz w:val="22"/>
          <w:szCs w:val="22"/>
        </w:rPr>
        <w:t xml:space="preserve"> allows the issuer to buy back the bond from the holder </w:t>
      </w:r>
      <w:r w:rsidR="00106634" w:rsidRPr="00890622">
        <w:rPr>
          <w:sz w:val="22"/>
          <w:szCs w:val="22"/>
        </w:rPr>
        <w:t>a</w:t>
      </w:r>
      <w:r w:rsidRPr="00890622">
        <w:rPr>
          <w:sz w:val="22"/>
          <w:szCs w:val="22"/>
        </w:rPr>
        <w:t>t</w:t>
      </w:r>
      <w:r w:rsidR="00106634" w:rsidRPr="00890622">
        <w:rPr>
          <w:sz w:val="22"/>
          <w:szCs w:val="22"/>
        </w:rPr>
        <w:t xml:space="preserve"> a </w:t>
      </w:r>
      <w:r w:rsidRPr="00890622">
        <w:rPr>
          <w:sz w:val="22"/>
          <w:szCs w:val="22"/>
        </w:rPr>
        <w:t>designated price and time.</w:t>
      </w:r>
    </w:p>
    <w:p w:rsidR="00CA57D6" w:rsidRPr="00890622" w:rsidRDefault="00CA57D6" w:rsidP="00CA57D6">
      <w:pPr>
        <w:pStyle w:val="ListParagraph"/>
        <w:widowControl w:val="0"/>
        <w:numPr>
          <w:ilvl w:val="0"/>
          <w:numId w:val="2"/>
        </w:numPr>
        <w:autoSpaceDE w:val="0"/>
        <w:autoSpaceDN w:val="0"/>
        <w:adjustRightInd w:val="0"/>
        <w:rPr>
          <w:sz w:val="22"/>
          <w:szCs w:val="22"/>
        </w:rPr>
      </w:pPr>
      <w:r w:rsidRPr="00890622">
        <w:rPr>
          <w:sz w:val="22"/>
          <w:szCs w:val="22"/>
        </w:rPr>
        <w:t xml:space="preserve">A </w:t>
      </w:r>
      <w:r w:rsidRPr="00CA57D6">
        <w:rPr>
          <w:b/>
          <w:i/>
          <w:sz w:val="22"/>
          <w:szCs w:val="22"/>
        </w:rPr>
        <w:t>convertible</w:t>
      </w:r>
      <w:r w:rsidRPr="00890622">
        <w:rPr>
          <w:sz w:val="22"/>
          <w:szCs w:val="22"/>
        </w:rPr>
        <w:t xml:space="preserve"> bond allows the holder to convert to the bond to the common stock of the issuing company. </w:t>
      </w:r>
    </w:p>
    <w:p w:rsidR="0099398B" w:rsidRPr="008D19E6" w:rsidRDefault="0099398B" w:rsidP="00421FEB">
      <w:pPr>
        <w:pStyle w:val="ListParagraph"/>
        <w:widowControl w:val="0"/>
        <w:numPr>
          <w:ilvl w:val="0"/>
          <w:numId w:val="2"/>
        </w:numPr>
        <w:autoSpaceDE w:val="0"/>
        <w:autoSpaceDN w:val="0"/>
        <w:adjustRightInd w:val="0"/>
        <w:rPr>
          <w:sz w:val="22"/>
          <w:szCs w:val="22"/>
        </w:rPr>
      </w:pPr>
      <w:r w:rsidRPr="00CA57D6">
        <w:rPr>
          <w:sz w:val="22"/>
          <w:szCs w:val="22"/>
        </w:rPr>
        <w:t xml:space="preserve">A </w:t>
      </w:r>
      <w:r w:rsidRPr="00CA57D6">
        <w:rPr>
          <w:b/>
          <w:i/>
          <w:sz w:val="22"/>
          <w:szCs w:val="22"/>
        </w:rPr>
        <w:t>putable</w:t>
      </w:r>
      <w:r w:rsidRPr="00CA57D6">
        <w:rPr>
          <w:sz w:val="22"/>
          <w:szCs w:val="22"/>
        </w:rPr>
        <w:t xml:space="preserve"> bond allows the holder of the bond to sell the bond back to the issuer at a designated time and price.</w:t>
      </w:r>
      <w:r w:rsidR="00262081" w:rsidRPr="00CA57D6">
        <w:rPr>
          <w:sz w:val="22"/>
          <w:szCs w:val="22"/>
        </w:rPr>
        <w:t xml:space="preserve"> Put options </w:t>
      </w:r>
      <w:r w:rsidR="002B3AB7" w:rsidRPr="00CA57D6">
        <w:rPr>
          <w:sz w:val="22"/>
          <w:szCs w:val="22"/>
        </w:rPr>
        <w:t>usually</w:t>
      </w:r>
      <w:r w:rsidR="00262081" w:rsidRPr="00CA57D6">
        <w:rPr>
          <w:sz w:val="22"/>
          <w:szCs w:val="22"/>
        </w:rPr>
        <w:t xml:space="preserve"> have a </w:t>
      </w:r>
      <w:r w:rsidR="002B3AB7" w:rsidRPr="00CA57D6">
        <w:rPr>
          <w:sz w:val="22"/>
          <w:szCs w:val="22"/>
        </w:rPr>
        <w:t>trigger</w:t>
      </w:r>
      <w:r w:rsidR="00CA57D6" w:rsidRPr="00CA57D6">
        <w:rPr>
          <w:sz w:val="22"/>
          <w:szCs w:val="22"/>
        </w:rPr>
        <w:t xml:space="preserve"> - </w:t>
      </w:r>
      <w:r w:rsidR="002B3AB7" w:rsidRPr="00CA57D6">
        <w:rPr>
          <w:sz w:val="22"/>
          <w:szCs w:val="22"/>
        </w:rPr>
        <w:t>mea</w:t>
      </w:r>
      <w:r w:rsidR="00CA57D6" w:rsidRPr="00CA57D6">
        <w:rPr>
          <w:sz w:val="22"/>
          <w:szCs w:val="22"/>
        </w:rPr>
        <w:t>ning the bond is only putable if</w:t>
      </w:r>
      <w:r w:rsidR="002B3AB7" w:rsidRPr="00CA57D6">
        <w:rPr>
          <w:sz w:val="22"/>
          <w:szCs w:val="22"/>
        </w:rPr>
        <w:t xml:space="preserve"> the company engages in a prohibited action such as selling specific assets or dramatically changing the asset/liability structure. </w:t>
      </w:r>
      <w:r w:rsidR="00CA57D6">
        <w:rPr>
          <w:sz w:val="22"/>
          <w:szCs w:val="22"/>
        </w:rPr>
        <w:t xml:space="preserve">A put option, which would require the company to </w:t>
      </w:r>
      <w:r w:rsidR="00CA57D6" w:rsidRPr="00CA57D6">
        <w:rPr>
          <w:sz w:val="22"/>
          <w:szCs w:val="22"/>
        </w:rPr>
        <w:t>pre-pay debt</w:t>
      </w:r>
      <w:r w:rsidR="00CA57D6">
        <w:rPr>
          <w:sz w:val="22"/>
          <w:szCs w:val="22"/>
        </w:rPr>
        <w:t xml:space="preserve">, </w:t>
      </w:r>
      <w:r w:rsidR="00CA57D6" w:rsidRPr="00CA57D6">
        <w:rPr>
          <w:sz w:val="22"/>
          <w:szCs w:val="22"/>
        </w:rPr>
        <w:t>is often a deterrent</w:t>
      </w:r>
      <w:r w:rsidR="00CA57D6">
        <w:rPr>
          <w:sz w:val="22"/>
          <w:szCs w:val="22"/>
        </w:rPr>
        <w:t xml:space="preserve"> to the stated </w:t>
      </w:r>
      <w:r w:rsidR="00CA57D6" w:rsidRPr="008D19E6">
        <w:rPr>
          <w:sz w:val="22"/>
          <w:szCs w:val="22"/>
        </w:rPr>
        <w:t>action.</w:t>
      </w:r>
    </w:p>
    <w:p w:rsidR="00CA57D6" w:rsidRPr="00CA57D6" w:rsidRDefault="00CA57D6" w:rsidP="00CA57D6">
      <w:pPr>
        <w:widowControl w:val="0"/>
        <w:autoSpaceDE w:val="0"/>
        <w:autoSpaceDN w:val="0"/>
        <w:adjustRightInd w:val="0"/>
        <w:rPr>
          <w:b/>
          <w:sz w:val="22"/>
          <w:szCs w:val="22"/>
        </w:rPr>
      </w:pPr>
    </w:p>
    <w:p w:rsidR="00106634" w:rsidRPr="00890622" w:rsidRDefault="00106634" w:rsidP="00DD2358">
      <w:pPr>
        <w:pStyle w:val="ListParagraph"/>
        <w:widowControl w:val="0"/>
        <w:numPr>
          <w:ilvl w:val="0"/>
          <w:numId w:val="7"/>
        </w:numPr>
        <w:autoSpaceDE w:val="0"/>
        <w:autoSpaceDN w:val="0"/>
        <w:adjustRightInd w:val="0"/>
        <w:rPr>
          <w:b/>
          <w:sz w:val="22"/>
          <w:szCs w:val="22"/>
        </w:rPr>
      </w:pPr>
      <w:r w:rsidRPr="00890622">
        <w:rPr>
          <w:b/>
          <w:sz w:val="22"/>
          <w:szCs w:val="22"/>
        </w:rPr>
        <w:t>Does an embedded option increase or decrease the risk premium relative to the base interest rate?</w:t>
      </w:r>
      <w:r w:rsidR="00197720" w:rsidRPr="00890622">
        <w:rPr>
          <w:b/>
          <w:sz w:val="22"/>
          <w:szCs w:val="22"/>
        </w:rPr>
        <w:t xml:space="preserve">  (Poorly </w:t>
      </w:r>
      <w:r w:rsidR="00CA57D6">
        <w:rPr>
          <w:b/>
          <w:sz w:val="22"/>
          <w:szCs w:val="22"/>
        </w:rPr>
        <w:t xml:space="preserve">textbook </w:t>
      </w:r>
      <w:r w:rsidR="00197720" w:rsidRPr="00890622">
        <w:rPr>
          <w:b/>
          <w:sz w:val="22"/>
          <w:szCs w:val="22"/>
        </w:rPr>
        <w:t xml:space="preserve">written question. Try this instead:  Does an embedded option increase or decrease the </w:t>
      </w:r>
      <w:r w:rsidR="00197720" w:rsidRPr="00890622">
        <w:rPr>
          <w:b/>
          <w:i/>
          <w:sz w:val="22"/>
          <w:szCs w:val="22"/>
          <w:u w:val="single"/>
        </w:rPr>
        <w:t>spread</w:t>
      </w:r>
      <w:r w:rsidR="00197720" w:rsidRPr="00890622">
        <w:rPr>
          <w:b/>
          <w:sz w:val="22"/>
          <w:szCs w:val="22"/>
        </w:rPr>
        <w:t xml:space="preserve"> relative to the base interest rate?)</w:t>
      </w:r>
    </w:p>
    <w:p w:rsidR="004F37B4" w:rsidRDefault="004F37B4" w:rsidP="004F37B4">
      <w:pPr>
        <w:pStyle w:val="ListParagraph"/>
        <w:widowControl w:val="0"/>
        <w:autoSpaceDE w:val="0"/>
        <w:autoSpaceDN w:val="0"/>
        <w:adjustRightInd w:val="0"/>
        <w:ind w:left="1080"/>
        <w:rPr>
          <w:sz w:val="22"/>
          <w:szCs w:val="22"/>
        </w:rPr>
      </w:pPr>
    </w:p>
    <w:p w:rsidR="00197720" w:rsidRPr="00890622" w:rsidRDefault="00106634" w:rsidP="00DD2358">
      <w:pPr>
        <w:pStyle w:val="ListParagraph"/>
        <w:widowControl w:val="0"/>
        <w:numPr>
          <w:ilvl w:val="0"/>
          <w:numId w:val="3"/>
        </w:numPr>
        <w:autoSpaceDE w:val="0"/>
        <w:autoSpaceDN w:val="0"/>
        <w:adjustRightInd w:val="0"/>
        <w:rPr>
          <w:sz w:val="22"/>
          <w:szCs w:val="22"/>
        </w:rPr>
      </w:pPr>
      <w:r w:rsidRPr="00890622">
        <w:rPr>
          <w:sz w:val="22"/>
          <w:szCs w:val="22"/>
        </w:rPr>
        <w:t xml:space="preserve">An option </w:t>
      </w:r>
      <w:r w:rsidR="00197720" w:rsidRPr="00890622">
        <w:rPr>
          <w:sz w:val="22"/>
          <w:szCs w:val="22"/>
        </w:rPr>
        <w:t xml:space="preserve">granted to the issuer </w:t>
      </w:r>
      <w:r w:rsidR="0099398B" w:rsidRPr="00890622">
        <w:rPr>
          <w:sz w:val="22"/>
          <w:szCs w:val="22"/>
        </w:rPr>
        <w:t xml:space="preserve">(a call option) </w:t>
      </w:r>
      <w:r w:rsidR="00197720" w:rsidRPr="00890622">
        <w:rPr>
          <w:sz w:val="22"/>
          <w:szCs w:val="22"/>
        </w:rPr>
        <w:t xml:space="preserve">increase the spread.  </w:t>
      </w:r>
    </w:p>
    <w:p w:rsidR="00106634" w:rsidRPr="00890622" w:rsidRDefault="00197720" w:rsidP="00DD2358">
      <w:pPr>
        <w:pStyle w:val="ListParagraph"/>
        <w:widowControl w:val="0"/>
        <w:numPr>
          <w:ilvl w:val="0"/>
          <w:numId w:val="3"/>
        </w:numPr>
        <w:autoSpaceDE w:val="0"/>
        <w:autoSpaceDN w:val="0"/>
        <w:adjustRightInd w:val="0"/>
        <w:rPr>
          <w:sz w:val="22"/>
          <w:szCs w:val="22"/>
        </w:rPr>
      </w:pPr>
      <w:r w:rsidRPr="00890622">
        <w:rPr>
          <w:sz w:val="22"/>
          <w:szCs w:val="22"/>
        </w:rPr>
        <w:t xml:space="preserve">An option granted to holder </w:t>
      </w:r>
      <w:r w:rsidR="0099398B" w:rsidRPr="00890622">
        <w:rPr>
          <w:sz w:val="22"/>
          <w:szCs w:val="22"/>
        </w:rPr>
        <w:t xml:space="preserve">(a put option or a convert option) </w:t>
      </w:r>
      <w:r w:rsidRPr="00890622">
        <w:rPr>
          <w:sz w:val="22"/>
          <w:szCs w:val="22"/>
        </w:rPr>
        <w:t xml:space="preserve">decreases the spread.  </w:t>
      </w:r>
    </w:p>
    <w:p w:rsidR="00197720" w:rsidRPr="00890622" w:rsidRDefault="00197720" w:rsidP="00DD2358">
      <w:pPr>
        <w:pStyle w:val="ListParagraph"/>
        <w:widowControl w:val="0"/>
        <w:numPr>
          <w:ilvl w:val="0"/>
          <w:numId w:val="3"/>
        </w:numPr>
        <w:autoSpaceDE w:val="0"/>
        <w:autoSpaceDN w:val="0"/>
        <w:adjustRightInd w:val="0"/>
        <w:rPr>
          <w:sz w:val="22"/>
          <w:szCs w:val="22"/>
        </w:rPr>
      </w:pPr>
      <w:r w:rsidRPr="00890622">
        <w:rPr>
          <w:sz w:val="22"/>
          <w:szCs w:val="22"/>
        </w:rPr>
        <w:t xml:space="preserve">The option adjusted spread (OAS) attempts to remove the effect of the option and </w:t>
      </w:r>
      <w:r w:rsidR="0099398B" w:rsidRPr="00890622">
        <w:rPr>
          <w:sz w:val="22"/>
          <w:szCs w:val="22"/>
        </w:rPr>
        <w:t xml:space="preserve">leave jus the </w:t>
      </w:r>
      <w:r w:rsidRPr="00890622">
        <w:rPr>
          <w:sz w:val="22"/>
          <w:szCs w:val="22"/>
        </w:rPr>
        <w:t>risk premium</w:t>
      </w:r>
      <w:r w:rsidR="0099398B" w:rsidRPr="00890622">
        <w:rPr>
          <w:sz w:val="22"/>
          <w:szCs w:val="22"/>
        </w:rPr>
        <w:t xml:space="preserve"> (and maybe a small liquidity premium)</w:t>
      </w:r>
      <w:r w:rsidRPr="00890622">
        <w:rPr>
          <w:sz w:val="22"/>
          <w:szCs w:val="22"/>
        </w:rPr>
        <w:t>.</w:t>
      </w:r>
    </w:p>
    <w:p w:rsidR="00106634" w:rsidRPr="00890622" w:rsidRDefault="00106634" w:rsidP="00106634">
      <w:pPr>
        <w:widowControl w:val="0"/>
        <w:autoSpaceDE w:val="0"/>
        <w:autoSpaceDN w:val="0"/>
        <w:adjustRightInd w:val="0"/>
        <w:rPr>
          <w:sz w:val="22"/>
          <w:szCs w:val="22"/>
        </w:rPr>
      </w:pPr>
    </w:p>
    <w:p w:rsidR="00106634" w:rsidRPr="00890622" w:rsidRDefault="00106634" w:rsidP="00DD2358">
      <w:pPr>
        <w:pStyle w:val="ListParagraph"/>
        <w:numPr>
          <w:ilvl w:val="0"/>
          <w:numId w:val="4"/>
        </w:numPr>
        <w:autoSpaceDE w:val="0"/>
        <w:autoSpaceDN w:val="0"/>
        <w:adjustRightInd w:val="0"/>
        <w:rPr>
          <w:b/>
          <w:sz w:val="22"/>
          <w:szCs w:val="22"/>
        </w:rPr>
      </w:pPr>
      <w:r w:rsidRPr="00890622">
        <w:rPr>
          <w:b/>
          <w:sz w:val="22"/>
          <w:szCs w:val="22"/>
        </w:rPr>
        <w:t>Answer the below questions.</w:t>
      </w:r>
    </w:p>
    <w:p w:rsidR="00106634" w:rsidRPr="00890622" w:rsidRDefault="00106634" w:rsidP="00DD2358">
      <w:pPr>
        <w:pStyle w:val="ListParagraph"/>
        <w:widowControl w:val="0"/>
        <w:numPr>
          <w:ilvl w:val="0"/>
          <w:numId w:val="8"/>
        </w:numPr>
        <w:autoSpaceDE w:val="0"/>
        <w:autoSpaceDN w:val="0"/>
        <w:adjustRightInd w:val="0"/>
        <w:rPr>
          <w:b/>
          <w:sz w:val="22"/>
          <w:szCs w:val="22"/>
        </w:rPr>
      </w:pPr>
      <w:r w:rsidRPr="00890622">
        <w:rPr>
          <w:b/>
          <w:sz w:val="22"/>
          <w:szCs w:val="22"/>
        </w:rPr>
        <w:t xml:space="preserve">What is </w:t>
      </w:r>
      <w:r w:rsidRPr="00890622">
        <w:rPr>
          <w:b/>
          <w:i/>
          <w:sz w:val="22"/>
          <w:szCs w:val="22"/>
          <w:u w:val="single"/>
        </w:rPr>
        <w:t>a</w:t>
      </w:r>
      <w:r w:rsidRPr="00890622">
        <w:rPr>
          <w:b/>
          <w:sz w:val="22"/>
          <w:szCs w:val="22"/>
        </w:rPr>
        <w:t xml:space="preserve"> yield curve?</w:t>
      </w:r>
      <w:r w:rsidR="00197720" w:rsidRPr="00890622">
        <w:rPr>
          <w:b/>
          <w:sz w:val="22"/>
          <w:szCs w:val="22"/>
        </w:rPr>
        <w:t xml:space="preserve">  Bonus question:  What is </w:t>
      </w:r>
      <w:r w:rsidR="00CA57D6">
        <w:rPr>
          <w:b/>
          <w:i/>
          <w:sz w:val="22"/>
          <w:szCs w:val="22"/>
          <w:u w:val="single"/>
        </w:rPr>
        <w:t>THE</w:t>
      </w:r>
      <w:r w:rsidR="00197720" w:rsidRPr="00890622">
        <w:rPr>
          <w:b/>
          <w:sz w:val="22"/>
          <w:szCs w:val="22"/>
        </w:rPr>
        <w:t xml:space="preserve"> yield curve?</w:t>
      </w:r>
    </w:p>
    <w:p w:rsidR="004F37B4" w:rsidRDefault="004F37B4" w:rsidP="003B0EAB">
      <w:pPr>
        <w:widowControl w:val="0"/>
        <w:autoSpaceDE w:val="0"/>
        <w:autoSpaceDN w:val="0"/>
        <w:adjustRightInd w:val="0"/>
        <w:ind w:left="720"/>
        <w:rPr>
          <w:i/>
          <w:sz w:val="22"/>
          <w:szCs w:val="22"/>
          <w:u w:val="single"/>
        </w:rPr>
      </w:pPr>
    </w:p>
    <w:p w:rsidR="00197720" w:rsidRPr="00890622" w:rsidRDefault="00197720" w:rsidP="003B0EAB">
      <w:pPr>
        <w:widowControl w:val="0"/>
        <w:autoSpaceDE w:val="0"/>
        <w:autoSpaceDN w:val="0"/>
        <w:adjustRightInd w:val="0"/>
        <w:ind w:left="720"/>
        <w:rPr>
          <w:sz w:val="22"/>
          <w:szCs w:val="22"/>
        </w:rPr>
      </w:pPr>
      <w:r w:rsidRPr="00890622">
        <w:rPr>
          <w:i/>
          <w:sz w:val="22"/>
          <w:szCs w:val="22"/>
          <w:u w:val="single"/>
        </w:rPr>
        <w:t>A</w:t>
      </w:r>
      <w:r w:rsidR="00106634" w:rsidRPr="00890622">
        <w:rPr>
          <w:sz w:val="22"/>
          <w:szCs w:val="22"/>
        </w:rPr>
        <w:t xml:space="preserve"> yield curve is the graphical depiction of the relationship </w:t>
      </w:r>
      <w:r w:rsidRPr="00890622">
        <w:rPr>
          <w:sz w:val="22"/>
          <w:szCs w:val="22"/>
        </w:rPr>
        <w:t xml:space="preserve">of </w:t>
      </w:r>
      <w:r w:rsidR="00106634" w:rsidRPr="00890622">
        <w:rPr>
          <w:sz w:val="22"/>
          <w:szCs w:val="22"/>
        </w:rPr>
        <w:t xml:space="preserve">the </w:t>
      </w:r>
      <w:r w:rsidRPr="00890622">
        <w:rPr>
          <w:sz w:val="22"/>
          <w:szCs w:val="22"/>
        </w:rPr>
        <w:t>YTM</w:t>
      </w:r>
      <w:r w:rsidR="00106634" w:rsidRPr="00890622">
        <w:rPr>
          <w:sz w:val="22"/>
          <w:szCs w:val="22"/>
        </w:rPr>
        <w:t xml:space="preserve"> on bonds of the same credit quality </w:t>
      </w:r>
      <w:r w:rsidR="003B0EAB" w:rsidRPr="00890622">
        <w:rPr>
          <w:sz w:val="22"/>
          <w:szCs w:val="22"/>
        </w:rPr>
        <w:t xml:space="preserve">across </w:t>
      </w:r>
      <w:r w:rsidR="00106634" w:rsidRPr="00890622">
        <w:rPr>
          <w:sz w:val="22"/>
          <w:szCs w:val="22"/>
        </w:rPr>
        <w:t xml:space="preserve">different maturities. </w:t>
      </w:r>
    </w:p>
    <w:p w:rsidR="00197720" w:rsidRPr="00890622" w:rsidRDefault="00197720" w:rsidP="003B0EAB">
      <w:pPr>
        <w:widowControl w:val="0"/>
        <w:autoSpaceDE w:val="0"/>
        <w:autoSpaceDN w:val="0"/>
        <w:adjustRightInd w:val="0"/>
        <w:ind w:left="720"/>
        <w:rPr>
          <w:sz w:val="22"/>
          <w:szCs w:val="22"/>
        </w:rPr>
      </w:pPr>
    </w:p>
    <w:p w:rsidR="00106634" w:rsidRPr="00890622" w:rsidRDefault="00106634" w:rsidP="003B0EAB">
      <w:pPr>
        <w:widowControl w:val="0"/>
        <w:autoSpaceDE w:val="0"/>
        <w:autoSpaceDN w:val="0"/>
        <w:adjustRightInd w:val="0"/>
        <w:ind w:left="720"/>
        <w:rPr>
          <w:sz w:val="22"/>
          <w:szCs w:val="22"/>
        </w:rPr>
      </w:pPr>
      <w:r w:rsidRPr="00890622">
        <w:rPr>
          <w:i/>
          <w:sz w:val="22"/>
          <w:szCs w:val="22"/>
          <w:u w:val="single"/>
        </w:rPr>
        <w:t>The</w:t>
      </w:r>
      <w:r w:rsidRPr="00890622">
        <w:rPr>
          <w:sz w:val="22"/>
          <w:szCs w:val="22"/>
        </w:rPr>
        <w:t xml:space="preserve"> yield curve is </w:t>
      </w:r>
      <w:r w:rsidR="00197720" w:rsidRPr="00890622">
        <w:rPr>
          <w:sz w:val="22"/>
          <w:szCs w:val="22"/>
        </w:rPr>
        <w:t xml:space="preserve">the same thing for </w:t>
      </w:r>
      <w:r w:rsidR="003B0EAB" w:rsidRPr="00890622">
        <w:rPr>
          <w:sz w:val="22"/>
          <w:szCs w:val="22"/>
        </w:rPr>
        <w:t xml:space="preserve">on-the-run </w:t>
      </w:r>
      <w:r w:rsidRPr="00890622">
        <w:rPr>
          <w:sz w:val="22"/>
          <w:szCs w:val="22"/>
        </w:rPr>
        <w:t xml:space="preserve">Treasury </w:t>
      </w:r>
      <w:r w:rsidR="00197720" w:rsidRPr="00890622">
        <w:rPr>
          <w:sz w:val="22"/>
          <w:szCs w:val="22"/>
        </w:rPr>
        <w:t xml:space="preserve">bonds.  </w:t>
      </w:r>
    </w:p>
    <w:p w:rsidR="004F37B4" w:rsidRDefault="004F37B4" w:rsidP="004F37B4">
      <w:pPr>
        <w:pStyle w:val="ListParagraph"/>
        <w:widowControl w:val="0"/>
        <w:autoSpaceDE w:val="0"/>
        <w:autoSpaceDN w:val="0"/>
        <w:adjustRightInd w:val="0"/>
        <w:rPr>
          <w:b/>
          <w:sz w:val="22"/>
          <w:szCs w:val="22"/>
        </w:rPr>
      </w:pPr>
    </w:p>
    <w:p w:rsidR="00106634" w:rsidRPr="00890622" w:rsidRDefault="00106634" w:rsidP="00DD2358">
      <w:pPr>
        <w:pStyle w:val="ListParagraph"/>
        <w:widowControl w:val="0"/>
        <w:numPr>
          <w:ilvl w:val="0"/>
          <w:numId w:val="8"/>
        </w:numPr>
        <w:autoSpaceDE w:val="0"/>
        <w:autoSpaceDN w:val="0"/>
        <w:adjustRightInd w:val="0"/>
        <w:rPr>
          <w:b/>
          <w:sz w:val="22"/>
          <w:szCs w:val="22"/>
        </w:rPr>
      </w:pPr>
      <w:r w:rsidRPr="00890622">
        <w:rPr>
          <w:b/>
          <w:sz w:val="22"/>
          <w:szCs w:val="22"/>
        </w:rPr>
        <w:t>Why is the Treasury yield curve the one that is most closely watched by market participants?</w:t>
      </w:r>
    </w:p>
    <w:p w:rsidR="004F37B4" w:rsidRDefault="004F37B4" w:rsidP="003B0EAB">
      <w:pPr>
        <w:widowControl w:val="0"/>
        <w:autoSpaceDE w:val="0"/>
        <w:autoSpaceDN w:val="0"/>
        <w:adjustRightInd w:val="0"/>
        <w:ind w:left="720"/>
        <w:rPr>
          <w:sz w:val="22"/>
          <w:szCs w:val="22"/>
        </w:rPr>
      </w:pPr>
    </w:p>
    <w:p w:rsidR="00197720" w:rsidRPr="00890622" w:rsidRDefault="003B0EAB" w:rsidP="003B0EAB">
      <w:pPr>
        <w:widowControl w:val="0"/>
        <w:autoSpaceDE w:val="0"/>
        <w:autoSpaceDN w:val="0"/>
        <w:adjustRightInd w:val="0"/>
        <w:ind w:left="720"/>
        <w:rPr>
          <w:sz w:val="22"/>
          <w:szCs w:val="22"/>
        </w:rPr>
      </w:pPr>
      <w:r w:rsidRPr="00890622">
        <w:rPr>
          <w:sz w:val="22"/>
          <w:szCs w:val="22"/>
        </w:rPr>
        <w:t>I</w:t>
      </w:r>
      <w:r w:rsidR="00197720" w:rsidRPr="00890622">
        <w:rPr>
          <w:sz w:val="22"/>
          <w:szCs w:val="22"/>
        </w:rPr>
        <w:t xml:space="preserve">t represents the best </w:t>
      </w:r>
      <w:r w:rsidR="002A028F" w:rsidRPr="00890622">
        <w:rPr>
          <w:sz w:val="22"/>
          <w:szCs w:val="22"/>
        </w:rPr>
        <w:t>measure</w:t>
      </w:r>
      <w:r w:rsidR="00197720" w:rsidRPr="00890622">
        <w:rPr>
          <w:sz w:val="22"/>
          <w:szCs w:val="22"/>
        </w:rPr>
        <w:t xml:space="preserve"> of the true time value of money</w:t>
      </w:r>
      <w:r w:rsidR="002A028F" w:rsidRPr="00890622">
        <w:rPr>
          <w:sz w:val="22"/>
          <w:szCs w:val="22"/>
        </w:rPr>
        <w:t>:</w:t>
      </w:r>
    </w:p>
    <w:p w:rsidR="00197720" w:rsidRPr="00890622" w:rsidRDefault="00106634" w:rsidP="00DD2358">
      <w:pPr>
        <w:pStyle w:val="ListParagraph"/>
        <w:widowControl w:val="0"/>
        <w:numPr>
          <w:ilvl w:val="0"/>
          <w:numId w:val="9"/>
        </w:numPr>
        <w:tabs>
          <w:tab w:val="left" w:pos="720"/>
        </w:tabs>
        <w:autoSpaceDE w:val="0"/>
        <w:autoSpaceDN w:val="0"/>
        <w:adjustRightInd w:val="0"/>
        <w:rPr>
          <w:sz w:val="22"/>
          <w:szCs w:val="22"/>
        </w:rPr>
      </w:pPr>
      <w:r w:rsidRPr="00890622">
        <w:rPr>
          <w:sz w:val="22"/>
          <w:szCs w:val="22"/>
        </w:rPr>
        <w:t xml:space="preserve">Treasury securities are free from default risk </w:t>
      </w:r>
      <w:r w:rsidR="00197720" w:rsidRPr="00890622">
        <w:rPr>
          <w:sz w:val="22"/>
          <w:szCs w:val="22"/>
        </w:rPr>
        <w:t xml:space="preserve">so there is no risk premium in YTM. </w:t>
      </w:r>
    </w:p>
    <w:p w:rsidR="00197720" w:rsidRPr="00890622" w:rsidRDefault="00197720" w:rsidP="00DD2358">
      <w:pPr>
        <w:pStyle w:val="ListParagraph"/>
        <w:widowControl w:val="0"/>
        <w:numPr>
          <w:ilvl w:val="0"/>
          <w:numId w:val="9"/>
        </w:numPr>
        <w:tabs>
          <w:tab w:val="left" w:pos="720"/>
        </w:tabs>
        <w:autoSpaceDE w:val="0"/>
        <w:autoSpaceDN w:val="0"/>
        <w:adjustRightInd w:val="0"/>
        <w:rPr>
          <w:sz w:val="22"/>
          <w:szCs w:val="22"/>
        </w:rPr>
      </w:pPr>
      <w:r w:rsidRPr="00890622">
        <w:rPr>
          <w:sz w:val="22"/>
          <w:szCs w:val="22"/>
        </w:rPr>
        <w:t xml:space="preserve">Since there is no default risk there is no </w:t>
      </w:r>
      <w:r w:rsidR="00106634" w:rsidRPr="00890622">
        <w:rPr>
          <w:sz w:val="22"/>
          <w:szCs w:val="22"/>
        </w:rPr>
        <w:t xml:space="preserve">difference in credit </w:t>
      </w:r>
      <w:r w:rsidRPr="00890622">
        <w:rPr>
          <w:sz w:val="22"/>
          <w:szCs w:val="22"/>
        </w:rPr>
        <w:t xml:space="preserve">quality </w:t>
      </w:r>
      <w:r w:rsidR="003B0EAB" w:rsidRPr="00890622">
        <w:rPr>
          <w:sz w:val="22"/>
          <w:szCs w:val="22"/>
        </w:rPr>
        <w:t>bonds of different maturities.</w:t>
      </w:r>
    </w:p>
    <w:p w:rsidR="005423A3" w:rsidRPr="00890622" w:rsidRDefault="00197720" w:rsidP="00DD2358">
      <w:pPr>
        <w:pStyle w:val="ListParagraph"/>
        <w:widowControl w:val="0"/>
        <w:numPr>
          <w:ilvl w:val="0"/>
          <w:numId w:val="9"/>
        </w:numPr>
        <w:tabs>
          <w:tab w:val="left" w:pos="720"/>
        </w:tabs>
        <w:autoSpaceDE w:val="0"/>
        <w:autoSpaceDN w:val="0"/>
        <w:adjustRightInd w:val="0"/>
        <w:rPr>
          <w:sz w:val="22"/>
          <w:szCs w:val="22"/>
        </w:rPr>
      </w:pPr>
      <w:r w:rsidRPr="00890622">
        <w:rPr>
          <w:sz w:val="22"/>
          <w:szCs w:val="22"/>
        </w:rPr>
        <w:t xml:space="preserve">The </w:t>
      </w:r>
      <w:r w:rsidR="003B0EAB" w:rsidRPr="00890622">
        <w:rPr>
          <w:sz w:val="22"/>
          <w:szCs w:val="22"/>
        </w:rPr>
        <w:t xml:space="preserve">US </w:t>
      </w:r>
      <w:r w:rsidRPr="00890622">
        <w:rPr>
          <w:sz w:val="22"/>
          <w:szCs w:val="22"/>
        </w:rPr>
        <w:t>T</w:t>
      </w:r>
      <w:r w:rsidR="00106634" w:rsidRPr="00890622">
        <w:rPr>
          <w:sz w:val="22"/>
          <w:szCs w:val="22"/>
        </w:rPr>
        <w:t xml:space="preserve">reasury market is the largest and most active bond market </w:t>
      </w:r>
      <w:r w:rsidR="002A028F" w:rsidRPr="00890622">
        <w:rPr>
          <w:sz w:val="22"/>
          <w:szCs w:val="22"/>
        </w:rPr>
        <w:t xml:space="preserve">so the YTM contains no </w:t>
      </w:r>
      <w:r w:rsidR="003B0EAB" w:rsidRPr="00890622">
        <w:rPr>
          <w:sz w:val="22"/>
          <w:szCs w:val="22"/>
        </w:rPr>
        <w:t>(</w:t>
      </w:r>
      <w:r w:rsidR="002A028F" w:rsidRPr="00890622">
        <w:rPr>
          <w:sz w:val="22"/>
          <w:szCs w:val="22"/>
        </w:rPr>
        <w:t xml:space="preserve">or at least the smallest) </w:t>
      </w:r>
      <w:r w:rsidR="00106634" w:rsidRPr="00890622">
        <w:rPr>
          <w:sz w:val="22"/>
          <w:szCs w:val="22"/>
        </w:rPr>
        <w:t xml:space="preserve">liquidity </w:t>
      </w:r>
      <w:r w:rsidR="002A028F" w:rsidRPr="00890622">
        <w:rPr>
          <w:sz w:val="22"/>
          <w:szCs w:val="22"/>
        </w:rPr>
        <w:t>premium and is lea</w:t>
      </w:r>
      <w:r w:rsidR="00AD403F" w:rsidRPr="00890622">
        <w:rPr>
          <w:sz w:val="22"/>
          <w:szCs w:val="22"/>
        </w:rPr>
        <w:t xml:space="preserve">st likely to show a </w:t>
      </w:r>
      <w:r w:rsidR="003B0EAB" w:rsidRPr="00890622">
        <w:rPr>
          <w:sz w:val="22"/>
          <w:szCs w:val="22"/>
        </w:rPr>
        <w:t>“</w:t>
      </w:r>
      <w:r w:rsidR="00AD403F" w:rsidRPr="00890622">
        <w:rPr>
          <w:sz w:val="22"/>
          <w:szCs w:val="22"/>
        </w:rPr>
        <w:t>stale</w:t>
      </w:r>
      <w:r w:rsidR="003B0EAB" w:rsidRPr="00890622">
        <w:rPr>
          <w:sz w:val="22"/>
          <w:szCs w:val="22"/>
        </w:rPr>
        <w:t>”</w:t>
      </w:r>
      <w:r w:rsidR="00AD403F" w:rsidRPr="00890622">
        <w:rPr>
          <w:sz w:val="22"/>
          <w:szCs w:val="22"/>
        </w:rPr>
        <w:t xml:space="preserve"> price</w:t>
      </w:r>
      <w:r w:rsidR="003B0EAB" w:rsidRPr="00890622">
        <w:rPr>
          <w:sz w:val="22"/>
          <w:szCs w:val="22"/>
        </w:rPr>
        <w:t>.</w:t>
      </w:r>
    </w:p>
    <w:p w:rsidR="00AD403F" w:rsidRPr="00890622" w:rsidRDefault="00AD403F" w:rsidP="00DD2358">
      <w:pPr>
        <w:pStyle w:val="ListParagraph"/>
        <w:widowControl w:val="0"/>
        <w:numPr>
          <w:ilvl w:val="0"/>
          <w:numId w:val="9"/>
        </w:numPr>
        <w:tabs>
          <w:tab w:val="left" w:pos="720"/>
        </w:tabs>
        <w:autoSpaceDE w:val="0"/>
        <w:autoSpaceDN w:val="0"/>
        <w:adjustRightInd w:val="0"/>
        <w:rPr>
          <w:sz w:val="22"/>
          <w:szCs w:val="22"/>
        </w:rPr>
      </w:pPr>
      <w:r w:rsidRPr="00890622">
        <w:rPr>
          <w:sz w:val="22"/>
          <w:szCs w:val="22"/>
        </w:rPr>
        <w:t xml:space="preserve">Note that there may be a </w:t>
      </w:r>
      <w:r w:rsidR="003B0EAB" w:rsidRPr="00890622">
        <w:rPr>
          <w:sz w:val="22"/>
          <w:szCs w:val="22"/>
        </w:rPr>
        <w:t>yield premium at the long-</w:t>
      </w:r>
      <w:r w:rsidRPr="00890622">
        <w:rPr>
          <w:sz w:val="22"/>
          <w:szCs w:val="22"/>
        </w:rPr>
        <w:t xml:space="preserve">end </w:t>
      </w:r>
      <w:r w:rsidR="003B0EAB" w:rsidRPr="00890622">
        <w:rPr>
          <w:sz w:val="22"/>
          <w:szCs w:val="22"/>
        </w:rPr>
        <w:t xml:space="preserve">of the curve </w:t>
      </w:r>
      <w:r w:rsidRPr="00890622">
        <w:rPr>
          <w:sz w:val="22"/>
          <w:szCs w:val="22"/>
        </w:rPr>
        <w:t>to compensate for increased interest rate risk (duration).</w:t>
      </w:r>
    </w:p>
    <w:p w:rsidR="005423A3" w:rsidRPr="00890622" w:rsidRDefault="005423A3" w:rsidP="005423A3">
      <w:pPr>
        <w:pStyle w:val="ListParagraph"/>
        <w:widowControl w:val="0"/>
        <w:autoSpaceDE w:val="0"/>
        <w:autoSpaceDN w:val="0"/>
        <w:adjustRightInd w:val="0"/>
        <w:ind w:left="1440"/>
        <w:rPr>
          <w:sz w:val="22"/>
          <w:szCs w:val="22"/>
        </w:rPr>
      </w:pPr>
    </w:p>
    <w:p w:rsidR="00106634" w:rsidRPr="00890622" w:rsidRDefault="00106634" w:rsidP="00DD2358">
      <w:pPr>
        <w:pStyle w:val="ListParagraph"/>
        <w:numPr>
          <w:ilvl w:val="0"/>
          <w:numId w:val="4"/>
        </w:numPr>
        <w:autoSpaceDE w:val="0"/>
        <w:autoSpaceDN w:val="0"/>
        <w:adjustRightInd w:val="0"/>
        <w:rPr>
          <w:b/>
          <w:sz w:val="22"/>
          <w:szCs w:val="22"/>
        </w:rPr>
      </w:pPr>
      <w:r w:rsidRPr="00890622">
        <w:rPr>
          <w:b/>
          <w:sz w:val="22"/>
          <w:szCs w:val="22"/>
        </w:rPr>
        <w:t xml:space="preserve">What is a spot </w:t>
      </w:r>
      <w:r w:rsidR="00AD403F" w:rsidRPr="00890622">
        <w:rPr>
          <w:b/>
          <w:sz w:val="22"/>
          <w:szCs w:val="22"/>
        </w:rPr>
        <w:t xml:space="preserve">(zero) </w:t>
      </w:r>
      <w:r w:rsidRPr="00890622">
        <w:rPr>
          <w:b/>
          <w:sz w:val="22"/>
          <w:szCs w:val="22"/>
        </w:rPr>
        <w:t>rate?</w:t>
      </w:r>
    </w:p>
    <w:p w:rsidR="004F37B4" w:rsidRDefault="004F37B4" w:rsidP="005423A3">
      <w:pPr>
        <w:widowControl w:val="0"/>
        <w:autoSpaceDE w:val="0"/>
        <w:autoSpaceDN w:val="0"/>
        <w:adjustRightInd w:val="0"/>
        <w:ind w:left="360"/>
        <w:rPr>
          <w:sz w:val="22"/>
          <w:szCs w:val="22"/>
        </w:rPr>
      </w:pPr>
    </w:p>
    <w:p w:rsidR="00106634" w:rsidRPr="00890622" w:rsidRDefault="00106634" w:rsidP="005423A3">
      <w:pPr>
        <w:widowControl w:val="0"/>
        <w:autoSpaceDE w:val="0"/>
        <w:autoSpaceDN w:val="0"/>
        <w:adjustRightInd w:val="0"/>
        <w:ind w:left="360"/>
        <w:rPr>
          <w:sz w:val="22"/>
          <w:szCs w:val="22"/>
        </w:rPr>
      </w:pPr>
      <w:r w:rsidRPr="00890622">
        <w:rPr>
          <w:sz w:val="22"/>
          <w:szCs w:val="22"/>
        </w:rPr>
        <w:t xml:space="preserve">The spot </w:t>
      </w:r>
      <w:r w:rsidR="00AD403F" w:rsidRPr="00890622">
        <w:rPr>
          <w:sz w:val="22"/>
          <w:szCs w:val="22"/>
        </w:rPr>
        <w:t xml:space="preserve">zero </w:t>
      </w:r>
      <w:r w:rsidRPr="00890622">
        <w:rPr>
          <w:sz w:val="22"/>
          <w:szCs w:val="22"/>
        </w:rPr>
        <w:t xml:space="preserve">rate for a </w:t>
      </w:r>
      <w:r w:rsidR="005423A3" w:rsidRPr="00890622">
        <w:rPr>
          <w:sz w:val="22"/>
          <w:szCs w:val="22"/>
        </w:rPr>
        <w:t xml:space="preserve">given </w:t>
      </w:r>
      <w:r w:rsidRPr="00890622">
        <w:rPr>
          <w:sz w:val="22"/>
          <w:szCs w:val="22"/>
        </w:rPr>
        <w:t xml:space="preserve">maturity is the yield on a </w:t>
      </w:r>
      <w:r w:rsidR="00AD403F" w:rsidRPr="00890622">
        <w:rPr>
          <w:sz w:val="22"/>
          <w:szCs w:val="22"/>
        </w:rPr>
        <w:t xml:space="preserve">theoretical </w:t>
      </w:r>
      <w:r w:rsidRPr="00890622">
        <w:rPr>
          <w:sz w:val="22"/>
          <w:szCs w:val="22"/>
        </w:rPr>
        <w:t xml:space="preserve">zero-coupon Treasury </w:t>
      </w:r>
      <w:r w:rsidR="005423A3" w:rsidRPr="00890622">
        <w:rPr>
          <w:sz w:val="22"/>
          <w:szCs w:val="22"/>
        </w:rPr>
        <w:t xml:space="preserve">contracted today (in the spot market - as opposed to the futures market).  </w:t>
      </w:r>
      <w:r w:rsidRPr="00890622">
        <w:rPr>
          <w:sz w:val="22"/>
          <w:szCs w:val="22"/>
        </w:rPr>
        <w:t xml:space="preserve">The graphical depiction of the relationship </w:t>
      </w:r>
      <w:r w:rsidR="005423A3" w:rsidRPr="00890622">
        <w:rPr>
          <w:sz w:val="22"/>
          <w:szCs w:val="22"/>
        </w:rPr>
        <w:t xml:space="preserve">between </w:t>
      </w:r>
      <w:r w:rsidRPr="00890622">
        <w:rPr>
          <w:sz w:val="22"/>
          <w:szCs w:val="22"/>
        </w:rPr>
        <w:t>spot rate</w:t>
      </w:r>
      <w:r w:rsidR="005423A3" w:rsidRPr="00890622">
        <w:rPr>
          <w:sz w:val="22"/>
          <w:szCs w:val="22"/>
        </w:rPr>
        <w:t>s</w:t>
      </w:r>
      <w:r w:rsidRPr="00890622">
        <w:rPr>
          <w:sz w:val="22"/>
          <w:szCs w:val="22"/>
        </w:rPr>
        <w:t xml:space="preserve"> </w:t>
      </w:r>
      <w:r w:rsidR="005423A3" w:rsidRPr="00890622">
        <w:rPr>
          <w:sz w:val="22"/>
          <w:szCs w:val="22"/>
        </w:rPr>
        <w:t xml:space="preserve">of different </w:t>
      </w:r>
      <w:r w:rsidRPr="00890622">
        <w:rPr>
          <w:sz w:val="22"/>
          <w:szCs w:val="22"/>
        </w:rPr>
        <w:t>maturit</w:t>
      </w:r>
      <w:r w:rsidR="005423A3" w:rsidRPr="00890622">
        <w:rPr>
          <w:sz w:val="22"/>
          <w:szCs w:val="22"/>
        </w:rPr>
        <w:t>ies i</w:t>
      </w:r>
      <w:r w:rsidR="00AD403F" w:rsidRPr="00890622">
        <w:rPr>
          <w:sz w:val="22"/>
          <w:szCs w:val="22"/>
        </w:rPr>
        <w:t>s called the spot rate curve (or the spot zero curve).</w:t>
      </w:r>
    </w:p>
    <w:p w:rsidR="005423A3" w:rsidRPr="00890622" w:rsidRDefault="005423A3" w:rsidP="005423A3">
      <w:pPr>
        <w:widowControl w:val="0"/>
        <w:autoSpaceDE w:val="0"/>
        <w:autoSpaceDN w:val="0"/>
        <w:adjustRightInd w:val="0"/>
        <w:ind w:left="360"/>
        <w:rPr>
          <w:sz w:val="22"/>
          <w:szCs w:val="22"/>
        </w:rPr>
      </w:pPr>
    </w:p>
    <w:p w:rsidR="00106634" w:rsidRPr="00890622" w:rsidRDefault="00106634" w:rsidP="00DD2358">
      <w:pPr>
        <w:pStyle w:val="ListParagraph"/>
        <w:numPr>
          <w:ilvl w:val="0"/>
          <w:numId w:val="4"/>
        </w:numPr>
        <w:autoSpaceDE w:val="0"/>
        <w:autoSpaceDN w:val="0"/>
        <w:adjustRightInd w:val="0"/>
        <w:rPr>
          <w:b/>
          <w:sz w:val="22"/>
          <w:szCs w:val="22"/>
        </w:rPr>
      </w:pPr>
      <w:r w:rsidRPr="00890622">
        <w:rPr>
          <w:b/>
          <w:sz w:val="22"/>
          <w:szCs w:val="22"/>
        </w:rPr>
        <w:t>Explain why it is inappropriate to use one yield to discount all the cash flows of a financial asset.</w:t>
      </w:r>
    </w:p>
    <w:p w:rsidR="004F37B4" w:rsidRDefault="004F37B4" w:rsidP="005423A3">
      <w:pPr>
        <w:widowControl w:val="0"/>
        <w:autoSpaceDE w:val="0"/>
        <w:autoSpaceDN w:val="0"/>
        <w:adjustRightInd w:val="0"/>
        <w:ind w:left="360"/>
        <w:rPr>
          <w:sz w:val="22"/>
          <w:szCs w:val="22"/>
        </w:rPr>
      </w:pPr>
    </w:p>
    <w:p w:rsidR="005423A3" w:rsidRPr="00890622" w:rsidRDefault="00AD403F" w:rsidP="005423A3">
      <w:pPr>
        <w:widowControl w:val="0"/>
        <w:autoSpaceDE w:val="0"/>
        <w:autoSpaceDN w:val="0"/>
        <w:adjustRightInd w:val="0"/>
        <w:ind w:left="360"/>
        <w:rPr>
          <w:sz w:val="22"/>
          <w:szCs w:val="22"/>
        </w:rPr>
      </w:pPr>
      <w:r w:rsidRPr="00890622">
        <w:rPr>
          <w:sz w:val="22"/>
          <w:szCs w:val="22"/>
        </w:rPr>
        <w:t>C</w:t>
      </w:r>
      <w:r w:rsidR="00106634" w:rsidRPr="00890622">
        <w:rPr>
          <w:sz w:val="22"/>
          <w:szCs w:val="22"/>
        </w:rPr>
        <w:t xml:space="preserve">ash flows </w:t>
      </w:r>
      <w:r w:rsidR="005423A3" w:rsidRPr="00890622">
        <w:rPr>
          <w:sz w:val="22"/>
          <w:szCs w:val="22"/>
        </w:rPr>
        <w:t xml:space="preserve">received </w:t>
      </w:r>
      <w:r w:rsidR="00106634" w:rsidRPr="00890622">
        <w:rPr>
          <w:sz w:val="22"/>
          <w:szCs w:val="22"/>
        </w:rPr>
        <w:t>at different points in time</w:t>
      </w:r>
      <w:r w:rsidRPr="00890622">
        <w:rPr>
          <w:sz w:val="22"/>
          <w:szCs w:val="22"/>
        </w:rPr>
        <w:t xml:space="preserve"> </w:t>
      </w:r>
      <w:r w:rsidR="00106634" w:rsidRPr="00890622">
        <w:rPr>
          <w:sz w:val="22"/>
          <w:szCs w:val="22"/>
        </w:rPr>
        <w:t xml:space="preserve">should be discounted at a rate appropriate </w:t>
      </w:r>
      <w:r w:rsidRPr="00890622">
        <w:rPr>
          <w:sz w:val="22"/>
          <w:szCs w:val="22"/>
        </w:rPr>
        <w:t xml:space="preserve">to the time when </w:t>
      </w:r>
      <w:r w:rsidR="00106634" w:rsidRPr="00890622">
        <w:rPr>
          <w:sz w:val="22"/>
          <w:szCs w:val="22"/>
        </w:rPr>
        <w:t xml:space="preserve">cash flow </w:t>
      </w:r>
      <w:r w:rsidR="005423A3" w:rsidRPr="00890622">
        <w:rPr>
          <w:sz w:val="22"/>
          <w:szCs w:val="22"/>
        </w:rPr>
        <w:t xml:space="preserve">is </w:t>
      </w:r>
      <w:r w:rsidR="00106634" w:rsidRPr="00890622">
        <w:rPr>
          <w:sz w:val="22"/>
          <w:szCs w:val="22"/>
        </w:rPr>
        <w:t xml:space="preserve">received. </w:t>
      </w:r>
      <w:r w:rsidRPr="00890622">
        <w:rPr>
          <w:sz w:val="22"/>
          <w:szCs w:val="22"/>
        </w:rPr>
        <w:t xml:space="preserve"> </w:t>
      </w:r>
    </w:p>
    <w:p w:rsidR="005423A3" w:rsidRPr="00890622" w:rsidRDefault="005423A3" w:rsidP="005423A3">
      <w:pPr>
        <w:widowControl w:val="0"/>
        <w:autoSpaceDE w:val="0"/>
        <w:autoSpaceDN w:val="0"/>
        <w:adjustRightInd w:val="0"/>
        <w:ind w:left="360"/>
        <w:rPr>
          <w:sz w:val="22"/>
          <w:szCs w:val="22"/>
        </w:rPr>
      </w:pPr>
    </w:p>
    <w:p w:rsidR="002D6797" w:rsidRPr="00890622" w:rsidRDefault="005423A3" w:rsidP="005423A3">
      <w:pPr>
        <w:widowControl w:val="0"/>
        <w:autoSpaceDE w:val="0"/>
        <w:autoSpaceDN w:val="0"/>
        <w:adjustRightInd w:val="0"/>
        <w:ind w:left="360"/>
        <w:rPr>
          <w:sz w:val="22"/>
          <w:szCs w:val="22"/>
        </w:rPr>
      </w:pPr>
      <w:r w:rsidRPr="00890622">
        <w:rPr>
          <w:sz w:val="22"/>
          <w:szCs w:val="22"/>
        </w:rPr>
        <w:t>A</w:t>
      </w:r>
      <w:r w:rsidR="00AD403F" w:rsidRPr="00890622">
        <w:rPr>
          <w:sz w:val="22"/>
          <w:szCs w:val="22"/>
        </w:rPr>
        <w:t xml:space="preserve"> financial </w:t>
      </w:r>
      <w:r w:rsidR="00106634" w:rsidRPr="00890622">
        <w:rPr>
          <w:sz w:val="22"/>
          <w:szCs w:val="22"/>
        </w:rPr>
        <w:t xml:space="preserve">asset </w:t>
      </w:r>
      <w:r w:rsidRPr="00890622">
        <w:rPr>
          <w:sz w:val="22"/>
          <w:szCs w:val="22"/>
        </w:rPr>
        <w:t xml:space="preserve">(a bond) can be separated into a series of individual </w:t>
      </w:r>
      <w:r w:rsidR="00106634" w:rsidRPr="00890622">
        <w:rPr>
          <w:sz w:val="22"/>
          <w:szCs w:val="22"/>
        </w:rPr>
        <w:t>cash flows</w:t>
      </w:r>
      <w:r w:rsidRPr="00890622">
        <w:rPr>
          <w:sz w:val="22"/>
          <w:szCs w:val="22"/>
        </w:rPr>
        <w:t xml:space="preserve">. Each of these individual cash flows is priced using a discount rate appropriate to the timing of the cash flow. </w:t>
      </w:r>
    </w:p>
    <w:p w:rsidR="002D6797" w:rsidRPr="00890622" w:rsidRDefault="002D6797" w:rsidP="005423A3">
      <w:pPr>
        <w:widowControl w:val="0"/>
        <w:autoSpaceDE w:val="0"/>
        <w:autoSpaceDN w:val="0"/>
        <w:adjustRightInd w:val="0"/>
        <w:ind w:left="360"/>
        <w:rPr>
          <w:sz w:val="22"/>
          <w:szCs w:val="22"/>
        </w:rPr>
      </w:pPr>
    </w:p>
    <w:p w:rsidR="002D6797" w:rsidRPr="00890622" w:rsidRDefault="005423A3" w:rsidP="005423A3">
      <w:pPr>
        <w:widowControl w:val="0"/>
        <w:autoSpaceDE w:val="0"/>
        <w:autoSpaceDN w:val="0"/>
        <w:adjustRightInd w:val="0"/>
        <w:ind w:left="360"/>
        <w:rPr>
          <w:sz w:val="22"/>
          <w:szCs w:val="22"/>
        </w:rPr>
      </w:pPr>
      <w:r w:rsidRPr="00890622">
        <w:rPr>
          <w:sz w:val="22"/>
          <w:szCs w:val="22"/>
        </w:rPr>
        <w:t>If the series of cash flows that make up a bond can be purchased indiv</w:t>
      </w:r>
      <w:r w:rsidR="002D6797" w:rsidRPr="00890622">
        <w:rPr>
          <w:sz w:val="22"/>
          <w:szCs w:val="22"/>
        </w:rPr>
        <w:t xml:space="preserve">idually </w:t>
      </w:r>
      <w:r w:rsidRPr="00890622">
        <w:rPr>
          <w:sz w:val="22"/>
          <w:szCs w:val="22"/>
        </w:rPr>
        <w:t xml:space="preserve">for less than the price of the bond, then an arbitrageur will buy the </w:t>
      </w:r>
      <w:r w:rsidR="002D6797" w:rsidRPr="00890622">
        <w:rPr>
          <w:sz w:val="22"/>
          <w:szCs w:val="22"/>
        </w:rPr>
        <w:t xml:space="preserve">individual </w:t>
      </w:r>
      <w:r w:rsidRPr="00890622">
        <w:rPr>
          <w:sz w:val="22"/>
          <w:szCs w:val="22"/>
        </w:rPr>
        <w:t>cash flows and sell the bond</w:t>
      </w:r>
      <w:r w:rsidR="002D6797" w:rsidRPr="00890622">
        <w:rPr>
          <w:sz w:val="22"/>
          <w:szCs w:val="22"/>
        </w:rPr>
        <w:t xml:space="preserve"> until the purchase and sale market activities equate the price of the individual cash flows to the bond. </w:t>
      </w:r>
    </w:p>
    <w:p w:rsidR="002D6797" w:rsidRPr="00890622" w:rsidRDefault="002D6797" w:rsidP="005423A3">
      <w:pPr>
        <w:widowControl w:val="0"/>
        <w:autoSpaceDE w:val="0"/>
        <w:autoSpaceDN w:val="0"/>
        <w:adjustRightInd w:val="0"/>
        <w:ind w:left="360"/>
        <w:rPr>
          <w:sz w:val="22"/>
          <w:szCs w:val="22"/>
        </w:rPr>
      </w:pPr>
    </w:p>
    <w:p w:rsidR="002D6797" w:rsidRPr="00890622" w:rsidRDefault="002D6797" w:rsidP="002D6797">
      <w:pPr>
        <w:widowControl w:val="0"/>
        <w:autoSpaceDE w:val="0"/>
        <w:autoSpaceDN w:val="0"/>
        <w:adjustRightInd w:val="0"/>
        <w:ind w:left="360"/>
        <w:rPr>
          <w:sz w:val="22"/>
          <w:szCs w:val="22"/>
        </w:rPr>
      </w:pPr>
      <w:r w:rsidRPr="00890622">
        <w:rPr>
          <w:sz w:val="22"/>
          <w:szCs w:val="22"/>
        </w:rPr>
        <w:t>Alternatively, if the series bond can be purchased for less than the cost of the individual cash flows that make up a bond, then an arbitrageur will buy the bond and sell the individual cash flows until the purchase and sale market activities equate the price of the bond to the individual cash flows.</w:t>
      </w:r>
    </w:p>
    <w:p w:rsidR="002D6797" w:rsidRPr="00890622" w:rsidRDefault="002D6797" w:rsidP="002D6797">
      <w:pPr>
        <w:widowControl w:val="0"/>
        <w:autoSpaceDE w:val="0"/>
        <w:autoSpaceDN w:val="0"/>
        <w:adjustRightInd w:val="0"/>
        <w:ind w:left="360"/>
        <w:rPr>
          <w:sz w:val="22"/>
          <w:szCs w:val="22"/>
        </w:rPr>
      </w:pPr>
    </w:p>
    <w:p w:rsidR="00106634" w:rsidRPr="00890622" w:rsidRDefault="002D6797" w:rsidP="002D6797">
      <w:pPr>
        <w:widowControl w:val="0"/>
        <w:autoSpaceDE w:val="0"/>
        <w:autoSpaceDN w:val="0"/>
        <w:adjustRightInd w:val="0"/>
        <w:ind w:left="360"/>
        <w:rPr>
          <w:sz w:val="22"/>
          <w:szCs w:val="22"/>
        </w:rPr>
      </w:pPr>
      <w:r w:rsidRPr="00890622">
        <w:rPr>
          <w:sz w:val="22"/>
          <w:szCs w:val="22"/>
        </w:rPr>
        <w:t xml:space="preserve">Therefore a price difference cannot exist in equilibrium. Since time-varying discount rates are used to price the individual cash flows, and the price of the individual cash flows must equal the price of the bond, time-varying discount rates must be used to price the bond. </w:t>
      </w:r>
    </w:p>
    <w:p w:rsidR="005423A3" w:rsidRPr="00890622" w:rsidRDefault="005423A3" w:rsidP="005423A3">
      <w:pPr>
        <w:autoSpaceDE w:val="0"/>
        <w:autoSpaceDN w:val="0"/>
        <w:adjustRightInd w:val="0"/>
        <w:rPr>
          <w:b/>
          <w:sz w:val="22"/>
          <w:szCs w:val="22"/>
        </w:rPr>
      </w:pPr>
    </w:p>
    <w:p w:rsidR="00106634" w:rsidRPr="00890622" w:rsidRDefault="00106634" w:rsidP="00DD2358">
      <w:pPr>
        <w:pStyle w:val="ListParagraph"/>
        <w:numPr>
          <w:ilvl w:val="0"/>
          <w:numId w:val="4"/>
        </w:numPr>
        <w:autoSpaceDE w:val="0"/>
        <w:autoSpaceDN w:val="0"/>
        <w:adjustRightInd w:val="0"/>
        <w:rPr>
          <w:b/>
          <w:sz w:val="22"/>
          <w:szCs w:val="22"/>
        </w:rPr>
      </w:pPr>
      <w:r w:rsidRPr="00890622">
        <w:rPr>
          <w:b/>
          <w:sz w:val="22"/>
          <w:szCs w:val="22"/>
        </w:rPr>
        <w:t>Explain why a financial asset can be viewed as a package of zero-coupon instruments.</w:t>
      </w:r>
    </w:p>
    <w:p w:rsidR="004F37B4" w:rsidRDefault="004F37B4" w:rsidP="002D6797">
      <w:pPr>
        <w:widowControl w:val="0"/>
        <w:autoSpaceDE w:val="0"/>
        <w:autoSpaceDN w:val="0"/>
        <w:adjustRightInd w:val="0"/>
        <w:ind w:left="360"/>
        <w:rPr>
          <w:sz w:val="22"/>
          <w:szCs w:val="22"/>
        </w:rPr>
      </w:pPr>
    </w:p>
    <w:p w:rsidR="00106634" w:rsidRPr="00890622" w:rsidRDefault="002D6797" w:rsidP="002D6797">
      <w:pPr>
        <w:widowControl w:val="0"/>
        <w:autoSpaceDE w:val="0"/>
        <w:autoSpaceDN w:val="0"/>
        <w:adjustRightInd w:val="0"/>
        <w:ind w:left="360"/>
        <w:rPr>
          <w:sz w:val="22"/>
          <w:szCs w:val="22"/>
        </w:rPr>
      </w:pPr>
      <w:r w:rsidRPr="00890622">
        <w:rPr>
          <w:sz w:val="22"/>
          <w:szCs w:val="22"/>
        </w:rPr>
        <w:t xml:space="preserve">Another way to ask Question 9. See the answer above. </w:t>
      </w:r>
    </w:p>
    <w:p w:rsidR="002D6797" w:rsidRPr="00890622" w:rsidRDefault="002D6797" w:rsidP="002D6797">
      <w:pPr>
        <w:pStyle w:val="ListParagraph"/>
        <w:autoSpaceDE w:val="0"/>
        <w:autoSpaceDN w:val="0"/>
        <w:adjustRightInd w:val="0"/>
        <w:ind w:left="360"/>
        <w:rPr>
          <w:b/>
          <w:sz w:val="22"/>
          <w:szCs w:val="22"/>
        </w:rPr>
      </w:pPr>
    </w:p>
    <w:p w:rsidR="00106634" w:rsidRPr="00890622" w:rsidRDefault="00106634" w:rsidP="00DD2358">
      <w:pPr>
        <w:pStyle w:val="ListParagraph"/>
        <w:numPr>
          <w:ilvl w:val="0"/>
          <w:numId w:val="4"/>
        </w:numPr>
        <w:autoSpaceDE w:val="0"/>
        <w:autoSpaceDN w:val="0"/>
        <w:adjustRightInd w:val="0"/>
        <w:rPr>
          <w:b/>
          <w:sz w:val="22"/>
          <w:szCs w:val="22"/>
        </w:rPr>
      </w:pPr>
      <w:r w:rsidRPr="00890622">
        <w:rPr>
          <w:b/>
          <w:sz w:val="22"/>
          <w:szCs w:val="22"/>
        </w:rPr>
        <w:t xml:space="preserve">How are spot </w:t>
      </w:r>
      <w:r w:rsidR="00226651" w:rsidRPr="00890622">
        <w:rPr>
          <w:b/>
          <w:sz w:val="22"/>
          <w:szCs w:val="22"/>
        </w:rPr>
        <w:t xml:space="preserve">(zero) </w:t>
      </w:r>
      <w:r w:rsidRPr="00890622">
        <w:rPr>
          <w:b/>
          <w:sz w:val="22"/>
          <w:szCs w:val="22"/>
        </w:rPr>
        <w:t>rates related to forward rates?</w:t>
      </w:r>
    </w:p>
    <w:p w:rsidR="004F37B4" w:rsidRDefault="004F37B4" w:rsidP="00D96B2B">
      <w:pPr>
        <w:widowControl w:val="0"/>
        <w:autoSpaceDE w:val="0"/>
        <w:autoSpaceDN w:val="0"/>
        <w:adjustRightInd w:val="0"/>
        <w:ind w:left="360"/>
        <w:rPr>
          <w:sz w:val="22"/>
          <w:szCs w:val="22"/>
        </w:rPr>
      </w:pPr>
    </w:p>
    <w:p w:rsidR="004F37B4" w:rsidRDefault="00106634" w:rsidP="00D96B2B">
      <w:pPr>
        <w:widowControl w:val="0"/>
        <w:autoSpaceDE w:val="0"/>
        <w:autoSpaceDN w:val="0"/>
        <w:adjustRightInd w:val="0"/>
        <w:ind w:left="360"/>
        <w:rPr>
          <w:sz w:val="22"/>
          <w:szCs w:val="22"/>
        </w:rPr>
      </w:pPr>
      <w:r w:rsidRPr="00890622">
        <w:rPr>
          <w:sz w:val="22"/>
          <w:szCs w:val="22"/>
        </w:rPr>
        <w:t xml:space="preserve">Forward rates and spot </w:t>
      </w:r>
      <w:r w:rsidR="00226651" w:rsidRPr="00890622">
        <w:rPr>
          <w:sz w:val="22"/>
          <w:szCs w:val="22"/>
        </w:rPr>
        <w:t xml:space="preserve">(zero) </w:t>
      </w:r>
      <w:r w:rsidRPr="00890622">
        <w:rPr>
          <w:sz w:val="22"/>
          <w:szCs w:val="22"/>
        </w:rPr>
        <w:t xml:space="preserve">rates are related because </w:t>
      </w:r>
      <w:r w:rsidR="002D6797" w:rsidRPr="00890622">
        <w:rPr>
          <w:sz w:val="22"/>
          <w:szCs w:val="22"/>
        </w:rPr>
        <w:t xml:space="preserve">a </w:t>
      </w:r>
      <w:r w:rsidRPr="00890622">
        <w:rPr>
          <w:sz w:val="22"/>
          <w:szCs w:val="22"/>
        </w:rPr>
        <w:t xml:space="preserve">forward </w:t>
      </w:r>
      <w:r w:rsidR="002D6797" w:rsidRPr="00890622">
        <w:rPr>
          <w:sz w:val="22"/>
          <w:szCs w:val="22"/>
        </w:rPr>
        <w:t xml:space="preserve">loan (a commitment today to </w:t>
      </w:r>
      <w:r w:rsidR="004F37B4">
        <w:rPr>
          <w:sz w:val="22"/>
          <w:szCs w:val="22"/>
        </w:rPr>
        <w:t xml:space="preserve">either </w:t>
      </w:r>
      <w:r w:rsidR="002D6797" w:rsidRPr="00890622">
        <w:rPr>
          <w:sz w:val="22"/>
          <w:szCs w:val="22"/>
        </w:rPr>
        <w:t>lend or borrow in the future) can be replicated using a series of spot loans</w:t>
      </w:r>
      <w:r w:rsidR="00226651" w:rsidRPr="00890622">
        <w:rPr>
          <w:sz w:val="22"/>
          <w:szCs w:val="22"/>
        </w:rPr>
        <w:t xml:space="preserve"> (loans made today). </w:t>
      </w:r>
    </w:p>
    <w:p w:rsidR="004F37B4" w:rsidRDefault="004F37B4" w:rsidP="00D96B2B">
      <w:pPr>
        <w:widowControl w:val="0"/>
        <w:autoSpaceDE w:val="0"/>
        <w:autoSpaceDN w:val="0"/>
        <w:adjustRightInd w:val="0"/>
        <w:ind w:left="360"/>
        <w:rPr>
          <w:sz w:val="22"/>
          <w:szCs w:val="22"/>
        </w:rPr>
      </w:pPr>
    </w:p>
    <w:p w:rsidR="00226651" w:rsidRPr="00890622" w:rsidRDefault="00226651" w:rsidP="00D96B2B">
      <w:pPr>
        <w:widowControl w:val="0"/>
        <w:autoSpaceDE w:val="0"/>
        <w:autoSpaceDN w:val="0"/>
        <w:adjustRightInd w:val="0"/>
        <w:ind w:left="360"/>
        <w:rPr>
          <w:sz w:val="22"/>
          <w:szCs w:val="22"/>
        </w:rPr>
      </w:pPr>
      <w:r w:rsidRPr="00890622">
        <w:rPr>
          <w:sz w:val="22"/>
          <w:szCs w:val="22"/>
        </w:rPr>
        <w:t xml:space="preserve">Therefore, since a series of </w:t>
      </w:r>
      <w:r w:rsidRPr="004F37B4">
        <w:rPr>
          <w:i/>
          <w:sz w:val="22"/>
          <w:szCs w:val="22"/>
        </w:rPr>
        <w:t>spot</w:t>
      </w:r>
      <w:r w:rsidRPr="00890622">
        <w:rPr>
          <w:sz w:val="22"/>
          <w:szCs w:val="22"/>
        </w:rPr>
        <w:t xml:space="preserve"> loans can be used to replicate a </w:t>
      </w:r>
      <w:r w:rsidRPr="004F37B4">
        <w:rPr>
          <w:i/>
          <w:sz w:val="22"/>
          <w:szCs w:val="22"/>
        </w:rPr>
        <w:t>forward</w:t>
      </w:r>
      <w:r w:rsidRPr="00890622">
        <w:rPr>
          <w:sz w:val="22"/>
          <w:szCs w:val="22"/>
        </w:rPr>
        <w:t xml:space="preserve"> loan, </w:t>
      </w:r>
      <w:r w:rsidRPr="004F37B4">
        <w:rPr>
          <w:i/>
          <w:sz w:val="22"/>
          <w:szCs w:val="22"/>
        </w:rPr>
        <w:t>spot</w:t>
      </w:r>
      <w:r w:rsidRPr="00890622">
        <w:rPr>
          <w:sz w:val="22"/>
          <w:szCs w:val="22"/>
        </w:rPr>
        <w:t xml:space="preserve"> </w:t>
      </w:r>
      <w:r w:rsidRPr="00890622">
        <w:rPr>
          <w:i/>
          <w:sz w:val="22"/>
          <w:szCs w:val="22"/>
        </w:rPr>
        <w:t>rates</w:t>
      </w:r>
      <w:r w:rsidRPr="00890622">
        <w:rPr>
          <w:sz w:val="22"/>
          <w:szCs w:val="22"/>
        </w:rPr>
        <w:t xml:space="preserve"> can be used to calculate </w:t>
      </w:r>
      <w:r w:rsidRPr="004F37B4">
        <w:rPr>
          <w:i/>
          <w:sz w:val="22"/>
          <w:szCs w:val="22"/>
        </w:rPr>
        <w:t>forward</w:t>
      </w:r>
      <w:r w:rsidRPr="00890622">
        <w:rPr>
          <w:sz w:val="22"/>
          <w:szCs w:val="22"/>
        </w:rPr>
        <w:t xml:space="preserve"> </w:t>
      </w:r>
      <w:r w:rsidRPr="00890622">
        <w:rPr>
          <w:i/>
          <w:sz w:val="22"/>
          <w:szCs w:val="22"/>
        </w:rPr>
        <w:t>rates</w:t>
      </w:r>
      <w:r w:rsidRPr="00890622">
        <w:rPr>
          <w:sz w:val="22"/>
          <w:szCs w:val="22"/>
        </w:rPr>
        <w:t>.  Using the arbitrage argument described in the answer to Question 9</w:t>
      </w:r>
      <w:r w:rsidR="00D96B2B" w:rsidRPr="00890622">
        <w:rPr>
          <w:sz w:val="22"/>
          <w:szCs w:val="22"/>
        </w:rPr>
        <w:t xml:space="preserve">, if a security can be replicated by a package of other securities, then the price of the security and the replicating package must be equal. If not, an arbitrage exists.  </w:t>
      </w:r>
    </w:p>
    <w:p w:rsidR="00226651" w:rsidRPr="00890622" w:rsidRDefault="00226651" w:rsidP="00D96B2B">
      <w:pPr>
        <w:widowControl w:val="0"/>
        <w:autoSpaceDE w:val="0"/>
        <w:autoSpaceDN w:val="0"/>
        <w:adjustRightInd w:val="0"/>
        <w:ind w:left="360"/>
        <w:rPr>
          <w:sz w:val="22"/>
          <w:szCs w:val="22"/>
        </w:rPr>
      </w:pPr>
    </w:p>
    <w:p w:rsidR="004F37B4" w:rsidRDefault="004F37B4" w:rsidP="00D96B2B">
      <w:pPr>
        <w:widowControl w:val="0"/>
        <w:autoSpaceDE w:val="0"/>
        <w:autoSpaceDN w:val="0"/>
        <w:adjustRightInd w:val="0"/>
        <w:ind w:left="360"/>
        <w:rPr>
          <w:sz w:val="22"/>
          <w:szCs w:val="22"/>
        </w:rPr>
      </w:pPr>
    </w:p>
    <w:p w:rsidR="00106634" w:rsidRDefault="00D96B2B" w:rsidP="00D96B2B">
      <w:pPr>
        <w:widowControl w:val="0"/>
        <w:autoSpaceDE w:val="0"/>
        <w:autoSpaceDN w:val="0"/>
        <w:adjustRightInd w:val="0"/>
        <w:ind w:left="360"/>
        <w:rPr>
          <w:sz w:val="22"/>
          <w:szCs w:val="22"/>
        </w:rPr>
      </w:pPr>
      <w:r w:rsidRPr="00890622">
        <w:rPr>
          <w:sz w:val="22"/>
          <w:szCs w:val="22"/>
        </w:rPr>
        <w:t>Example:  B</w:t>
      </w:r>
      <w:r w:rsidR="0072212E" w:rsidRPr="00890622">
        <w:rPr>
          <w:sz w:val="22"/>
          <w:szCs w:val="22"/>
        </w:rPr>
        <w:t xml:space="preserve">orrow </w:t>
      </w:r>
      <w:r w:rsidRPr="00890622">
        <w:rPr>
          <w:sz w:val="22"/>
          <w:szCs w:val="22"/>
        </w:rPr>
        <w:t xml:space="preserve">$100 </w:t>
      </w:r>
      <w:r w:rsidR="0072212E" w:rsidRPr="00890622">
        <w:rPr>
          <w:sz w:val="22"/>
          <w:szCs w:val="22"/>
        </w:rPr>
        <w:t xml:space="preserve">today for three years </w:t>
      </w:r>
      <w:r w:rsidRPr="00890622">
        <w:rPr>
          <w:sz w:val="22"/>
          <w:szCs w:val="22"/>
        </w:rPr>
        <w:t xml:space="preserve">and </w:t>
      </w:r>
      <w:r w:rsidR="0072212E" w:rsidRPr="00890622">
        <w:rPr>
          <w:sz w:val="22"/>
          <w:szCs w:val="22"/>
        </w:rPr>
        <w:t>lend</w:t>
      </w:r>
      <w:r w:rsidRPr="00890622">
        <w:rPr>
          <w:sz w:val="22"/>
          <w:szCs w:val="22"/>
        </w:rPr>
        <w:t xml:space="preserve"> $100 today </w:t>
      </w:r>
      <w:r w:rsidR="0072212E" w:rsidRPr="00890622">
        <w:rPr>
          <w:sz w:val="22"/>
          <w:szCs w:val="22"/>
        </w:rPr>
        <w:t>two years</w:t>
      </w:r>
      <w:r w:rsidRPr="00890622">
        <w:rPr>
          <w:sz w:val="22"/>
          <w:szCs w:val="22"/>
        </w:rPr>
        <w:t>. This</w:t>
      </w:r>
      <w:r w:rsidR="0072212E" w:rsidRPr="00890622">
        <w:rPr>
          <w:sz w:val="22"/>
          <w:szCs w:val="22"/>
        </w:rPr>
        <w:t xml:space="preserve"> is equivalent to borrowing </w:t>
      </w:r>
      <w:r w:rsidRPr="00890622">
        <w:rPr>
          <w:sz w:val="22"/>
          <w:szCs w:val="22"/>
        </w:rPr>
        <w:t xml:space="preserve">$100 </w:t>
      </w:r>
      <w:r w:rsidR="0072212E" w:rsidRPr="00890622">
        <w:rPr>
          <w:sz w:val="22"/>
          <w:szCs w:val="22"/>
        </w:rPr>
        <w:t>in two years f</w:t>
      </w:r>
      <w:r w:rsidRPr="00890622">
        <w:rPr>
          <w:sz w:val="22"/>
          <w:szCs w:val="22"/>
        </w:rPr>
        <w:t xml:space="preserve">or one year – called a two-year forward, one-year loan. </w:t>
      </w:r>
      <w:r w:rsidR="004F37B4">
        <w:rPr>
          <w:sz w:val="22"/>
          <w:szCs w:val="22"/>
        </w:rPr>
        <w:t xml:space="preserve">The rate on this loan is called the </w:t>
      </w:r>
      <w:r w:rsidR="004F37B4" w:rsidRPr="004F37B4">
        <w:rPr>
          <w:b/>
          <w:i/>
          <w:sz w:val="22"/>
          <w:szCs w:val="22"/>
        </w:rPr>
        <w:t>implied</w:t>
      </w:r>
      <w:r w:rsidR="004F37B4">
        <w:rPr>
          <w:sz w:val="22"/>
          <w:szCs w:val="22"/>
        </w:rPr>
        <w:t xml:space="preserve"> forward rate.</w:t>
      </w:r>
    </w:p>
    <w:p w:rsidR="00BF4C5C" w:rsidRPr="00890622" w:rsidRDefault="00BF4C5C" w:rsidP="00BF4C5C">
      <w:pPr>
        <w:autoSpaceDE w:val="0"/>
        <w:autoSpaceDN w:val="0"/>
        <w:adjustRightInd w:val="0"/>
        <w:rPr>
          <w:b/>
          <w:sz w:val="22"/>
          <w:szCs w:val="22"/>
        </w:rPr>
      </w:pPr>
    </w:p>
    <w:p w:rsidR="00106634" w:rsidRPr="00890622" w:rsidRDefault="00106634" w:rsidP="00DD2358">
      <w:pPr>
        <w:pStyle w:val="ListParagraph"/>
        <w:numPr>
          <w:ilvl w:val="0"/>
          <w:numId w:val="10"/>
        </w:numPr>
        <w:autoSpaceDE w:val="0"/>
        <w:autoSpaceDN w:val="0"/>
        <w:adjustRightInd w:val="0"/>
        <w:rPr>
          <w:b/>
          <w:sz w:val="22"/>
          <w:szCs w:val="22"/>
        </w:rPr>
      </w:pPr>
      <w:r w:rsidRPr="00890622">
        <w:rPr>
          <w:b/>
          <w:sz w:val="22"/>
          <w:szCs w:val="22"/>
        </w:rPr>
        <w:t>What are the problems with using only on-the-run Treasury issues to construct the theoretical spot rate curve?</w:t>
      </w:r>
    </w:p>
    <w:p w:rsidR="004F37B4" w:rsidRDefault="004F37B4" w:rsidP="00BF4C5C">
      <w:pPr>
        <w:widowControl w:val="0"/>
        <w:autoSpaceDE w:val="0"/>
        <w:autoSpaceDN w:val="0"/>
        <w:adjustRightInd w:val="0"/>
        <w:ind w:left="360"/>
        <w:rPr>
          <w:sz w:val="22"/>
          <w:szCs w:val="22"/>
        </w:rPr>
      </w:pPr>
    </w:p>
    <w:p w:rsidR="00106634" w:rsidRPr="00890622" w:rsidRDefault="00BF4C5C" w:rsidP="00BF4C5C">
      <w:pPr>
        <w:widowControl w:val="0"/>
        <w:autoSpaceDE w:val="0"/>
        <w:autoSpaceDN w:val="0"/>
        <w:adjustRightInd w:val="0"/>
        <w:ind w:left="360"/>
        <w:rPr>
          <w:sz w:val="22"/>
          <w:szCs w:val="22"/>
        </w:rPr>
      </w:pPr>
      <w:r w:rsidRPr="00890622">
        <w:rPr>
          <w:sz w:val="22"/>
          <w:szCs w:val="22"/>
        </w:rPr>
        <w:t>T</w:t>
      </w:r>
      <w:r w:rsidR="00106634" w:rsidRPr="00890622">
        <w:rPr>
          <w:sz w:val="22"/>
          <w:szCs w:val="22"/>
        </w:rPr>
        <w:t xml:space="preserve">here </w:t>
      </w:r>
      <w:r w:rsidRPr="00890622">
        <w:rPr>
          <w:sz w:val="22"/>
          <w:szCs w:val="22"/>
        </w:rPr>
        <w:t xml:space="preserve">are </w:t>
      </w:r>
      <w:r w:rsidR="00106634" w:rsidRPr="00890622">
        <w:rPr>
          <w:sz w:val="22"/>
          <w:szCs w:val="22"/>
        </w:rPr>
        <w:t>large gap</w:t>
      </w:r>
      <w:r w:rsidRPr="00890622">
        <w:rPr>
          <w:sz w:val="22"/>
          <w:szCs w:val="22"/>
        </w:rPr>
        <w:t>s</w:t>
      </w:r>
      <w:r w:rsidR="00106634" w:rsidRPr="00890622">
        <w:rPr>
          <w:sz w:val="22"/>
          <w:szCs w:val="22"/>
        </w:rPr>
        <w:t xml:space="preserve"> between some of the maturit</w:t>
      </w:r>
      <w:r w:rsidRPr="00890622">
        <w:rPr>
          <w:sz w:val="22"/>
          <w:szCs w:val="22"/>
        </w:rPr>
        <w:t>y</w:t>
      </w:r>
      <w:r w:rsidR="00106634" w:rsidRPr="00890622">
        <w:rPr>
          <w:sz w:val="22"/>
          <w:szCs w:val="22"/>
        </w:rPr>
        <w:t xml:space="preserve"> points</w:t>
      </w:r>
      <w:r w:rsidRPr="00890622">
        <w:rPr>
          <w:sz w:val="22"/>
          <w:szCs w:val="22"/>
        </w:rPr>
        <w:t xml:space="preserve"> in the on the run curve. One method for filling the gaps is </w:t>
      </w:r>
      <w:r w:rsidR="00106634" w:rsidRPr="00890622">
        <w:rPr>
          <w:sz w:val="22"/>
          <w:szCs w:val="22"/>
        </w:rPr>
        <w:t xml:space="preserve">linear interpolation </w:t>
      </w:r>
      <w:r w:rsidRPr="00890622">
        <w:rPr>
          <w:sz w:val="22"/>
          <w:szCs w:val="22"/>
        </w:rPr>
        <w:t>for the missing maturities</w:t>
      </w:r>
      <w:r w:rsidR="00DA6ECE" w:rsidRPr="00890622">
        <w:rPr>
          <w:sz w:val="22"/>
          <w:szCs w:val="22"/>
        </w:rPr>
        <w:t xml:space="preserve"> (which is what we will do)</w:t>
      </w:r>
      <w:r w:rsidRPr="00890622">
        <w:rPr>
          <w:sz w:val="22"/>
          <w:szCs w:val="22"/>
        </w:rPr>
        <w:t>, but this “straightens” the curve in between the missing points.  Another method for filling the gaps is to use older bonds</w:t>
      </w:r>
      <w:r w:rsidR="00DA6ECE" w:rsidRPr="00890622">
        <w:rPr>
          <w:sz w:val="22"/>
          <w:szCs w:val="22"/>
        </w:rPr>
        <w:t>.</w:t>
      </w:r>
      <w:r w:rsidRPr="00890622">
        <w:rPr>
          <w:sz w:val="22"/>
          <w:szCs w:val="22"/>
        </w:rPr>
        <w:t xml:space="preserve"> But older bonds have a higher YTM (and therefore are priced lower) to compensate for the lower liquidity.</w:t>
      </w:r>
    </w:p>
    <w:p w:rsidR="00106634" w:rsidRPr="00890622" w:rsidRDefault="00106634" w:rsidP="00106634">
      <w:pPr>
        <w:widowControl w:val="0"/>
        <w:autoSpaceDE w:val="0"/>
        <w:autoSpaceDN w:val="0"/>
        <w:adjustRightInd w:val="0"/>
        <w:rPr>
          <w:sz w:val="22"/>
          <w:szCs w:val="22"/>
        </w:rPr>
      </w:pPr>
    </w:p>
    <w:p w:rsidR="00106634" w:rsidRPr="00890622" w:rsidRDefault="00106634" w:rsidP="00DD2358">
      <w:pPr>
        <w:pStyle w:val="ListParagraph"/>
        <w:numPr>
          <w:ilvl w:val="0"/>
          <w:numId w:val="11"/>
        </w:numPr>
        <w:autoSpaceDE w:val="0"/>
        <w:autoSpaceDN w:val="0"/>
        <w:adjustRightInd w:val="0"/>
        <w:rPr>
          <w:b/>
          <w:sz w:val="22"/>
          <w:szCs w:val="22"/>
        </w:rPr>
      </w:pPr>
      <w:r w:rsidRPr="00890622">
        <w:rPr>
          <w:b/>
          <w:sz w:val="22"/>
          <w:szCs w:val="22"/>
        </w:rPr>
        <w:t>What actions force a Treasury’s bond price to be valued in the market at the present value of the cash flows discounted at the Treasury spot rates?</w:t>
      </w:r>
    </w:p>
    <w:p w:rsidR="004F37B4" w:rsidRDefault="004F37B4" w:rsidP="00DD2358">
      <w:pPr>
        <w:widowControl w:val="0"/>
        <w:autoSpaceDE w:val="0"/>
        <w:autoSpaceDN w:val="0"/>
        <w:adjustRightInd w:val="0"/>
        <w:ind w:left="360"/>
        <w:rPr>
          <w:sz w:val="22"/>
          <w:szCs w:val="22"/>
        </w:rPr>
      </w:pPr>
    </w:p>
    <w:p w:rsidR="00106634" w:rsidRPr="00890622" w:rsidRDefault="00A202E7" w:rsidP="00DD2358">
      <w:pPr>
        <w:widowControl w:val="0"/>
        <w:autoSpaceDE w:val="0"/>
        <w:autoSpaceDN w:val="0"/>
        <w:adjustRightInd w:val="0"/>
        <w:ind w:left="360"/>
        <w:rPr>
          <w:sz w:val="22"/>
          <w:szCs w:val="22"/>
        </w:rPr>
      </w:pPr>
      <w:r w:rsidRPr="00890622">
        <w:rPr>
          <w:sz w:val="22"/>
          <w:szCs w:val="22"/>
        </w:rPr>
        <w:t xml:space="preserve">Arbitrage with </w:t>
      </w:r>
      <w:r w:rsidR="00DD2358" w:rsidRPr="00890622">
        <w:rPr>
          <w:sz w:val="22"/>
          <w:szCs w:val="22"/>
        </w:rPr>
        <w:t>STRIPS</w:t>
      </w:r>
      <w:r w:rsidR="00C10BAD" w:rsidRPr="00890622">
        <w:rPr>
          <w:sz w:val="22"/>
          <w:szCs w:val="22"/>
        </w:rPr>
        <w:t xml:space="preserve">. Since all the cash flows of </w:t>
      </w:r>
      <w:r w:rsidR="00DD2358" w:rsidRPr="00890622">
        <w:rPr>
          <w:sz w:val="22"/>
          <w:szCs w:val="22"/>
        </w:rPr>
        <w:t>treasury can be replicated with a package of STRIPS, the price of a treasury must equal the price of the package of STRIPS.</w:t>
      </w:r>
    </w:p>
    <w:p w:rsidR="00106634" w:rsidRPr="00890622" w:rsidRDefault="00106634" w:rsidP="00106634">
      <w:pPr>
        <w:widowControl w:val="0"/>
        <w:autoSpaceDE w:val="0"/>
        <w:autoSpaceDN w:val="0"/>
        <w:adjustRightInd w:val="0"/>
        <w:rPr>
          <w:sz w:val="22"/>
          <w:szCs w:val="22"/>
        </w:rPr>
      </w:pPr>
    </w:p>
    <w:p w:rsidR="00106634" w:rsidRPr="00890622" w:rsidRDefault="00106634" w:rsidP="00DD2358">
      <w:pPr>
        <w:pStyle w:val="ListParagraph"/>
        <w:numPr>
          <w:ilvl w:val="0"/>
          <w:numId w:val="12"/>
        </w:numPr>
        <w:autoSpaceDE w:val="0"/>
        <w:autoSpaceDN w:val="0"/>
        <w:adjustRightInd w:val="0"/>
        <w:rPr>
          <w:b/>
          <w:sz w:val="22"/>
          <w:szCs w:val="22"/>
        </w:rPr>
      </w:pPr>
      <w:r w:rsidRPr="00890622">
        <w:rPr>
          <w:b/>
          <w:sz w:val="22"/>
          <w:szCs w:val="22"/>
        </w:rPr>
        <w:t>Explain the role that forward rates play in making investment decisions.</w:t>
      </w:r>
    </w:p>
    <w:p w:rsidR="004F37B4" w:rsidRDefault="004F37B4" w:rsidP="006558D7">
      <w:pPr>
        <w:widowControl w:val="0"/>
        <w:autoSpaceDE w:val="0"/>
        <w:autoSpaceDN w:val="0"/>
        <w:adjustRightInd w:val="0"/>
        <w:ind w:left="360"/>
        <w:rPr>
          <w:sz w:val="22"/>
          <w:szCs w:val="22"/>
        </w:rPr>
      </w:pPr>
    </w:p>
    <w:p w:rsidR="00106634" w:rsidRPr="00890622" w:rsidRDefault="004F37B4" w:rsidP="006558D7">
      <w:pPr>
        <w:widowControl w:val="0"/>
        <w:autoSpaceDE w:val="0"/>
        <w:autoSpaceDN w:val="0"/>
        <w:adjustRightInd w:val="0"/>
        <w:ind w:left="360"/>
        <w:rPr>
          <w:sz w:val="22"/>
          <w:szCs w:val="22"/>
        </w:rPr>
      </w:pPr>
      <w:r>
        <w:rPr>
          <w:sz w:val="22"/>
          <w:szCs w:val="22"/>
        </w:rPr>
        <w:t>Implied f</w:t>
      </w:r>
      <w:r w:rsidR="000514CE" w:rsidRPr="00890622">
        <w:rPr>
          <w:sz w:val="22"/>
          <w:szCs w:val="22"/>
        </w:rPr>
        <w:t xml:space="preserve">orward rates can be used by investors to lock-in future borrowing costs or lending revenues.  Interest rate futures contracts or interest rate forwards (called forward rate agreements or FRAs) </w:t>
      </w:r>
      <w:r w:rsidR="003D7863" w:rsidRPr="00890622">
        <w:rPr>
          <w:sz w:val="22"/>
          <w:szCs w:val="22"/>
        </w:rPr>
        <w:t xml:space="preserve">can </w:t>
      </w:r>
      <w:r w:rsidR="000514CE" w:rsidRPr="00890622">
        <w:rPr>
          <w:sz w:val="22"/>
          <w:szCs w:val="22"/>
        </w:rPr>
        <w:t xml:space="preserve">be used in many ways including hedging </w:t>
      </w:r>
      <w:r w:rsidR="003D7863" w:rsidRPr="00890622">
        <w:rPr>
          <w:sz w:val="22"/>
          <w:szCs w:val="22"/>
        </w:rPr>
        <w:t>bond potions.</w:t>
      </w:r>
      <w:r w:rsidR="00A202E7" w:rsidRPr="00890622">
        <w:rPr>
          <w:sz w:val="22"/>
          <w:szCs w:val="22"/>
        </w:rPr>
        <w:t xml:space="preserve"> </w:t>
      </w:r>
    </w:p>
    <w:p w:rsidR="006558D7" w:rsidRPr="00890622" w:rsidRDefault="006558D7" w:rsidP="006558D7">
      <w:pPr>
        <w:pStyle w:val="ListParagraph"/>
        <w:autoSpaceDE w:val="0"/>
        <w:autoSpaceDN w:val="0"/>
        <w:adjustRightInd w:val="0"/>
        <w:ind w:left="360"/>
        <w:rPr>
          <w:b/>
          <w:sz w:val="22"/>
          <w:szCs w:val="22"/>
        </w:rPr>
      </w:pPr>
    </w:p>
    <w:p w:rsidR="00106634" w:rsidRPr="00890622" w:rsidRDefault="00106634" w:rsidP="006558D7">
      <w:pPr>
        <w:pStyle w:val="ListParagraph"/>
        <w:numPr>
          <w:ilvl w:val="0"/>
          <w:numId w:val="12"/>
        </w:numPr>
        <w:autoSpaceDE w:val="0"/>
        <w:autoSpaceDN w:val="0"/>
        <w:adjustRightInd w:val="0"/>
        <w:rPr>
          <w:b/>
          <w:sz w:val="22"/>
          <w:szCs w:val="22"/>
        </w:rPr>
      </w:pPr>
      <w:r w:rsidRPr="00890622">
        <w:rPr>
          <w:b/>
          <w:spacing w:val="-5"/>
          <w:sz w:val="22"/>
          <w:szCs w:val="22"/>
        </w:rPr>
        <w:t xml:space="preserve"> “Forward rates are poor predictors of the actual future rates that are realized. Consequently, they are of little value to an investor.” Explain why you agree or disagree with this statement.</w:t>
      </w:r>
    </w:p>
    <w:p w:rsidR="004F37B4" w:rsidRDefault="004F37B4" w:rsidP="000514CE">
      <w:pPr>
        <w:widowControl w:val="0"/>
        <w:autoSpaceDE w:val="0"/>
        <w:autoSpaceDN w:val="0"/>
        <w:adjustRightInd w:val="0"/>
        <w:ind w:left="360"/>
        <w:rPr>
          <w:sz w:val="22"/>
          <w:szCs w:val="22"/>
        </w:rPr>
      </w:pPr>
    </w:p>
    <w:p w:rsidR="00106634" w:rsidRPr="00890622" w:rsidRDefault="00E6197A" w:rsidP="000514CE">
      <w:pPr>
        <w:widowControl w:val="0"/>
        <w:autoSpaceDE w:val="0"/>
        <w:autoSpaceDN w:val="0"/>
        <w:adjustRightInd w:val="0"/>
        <w:ind w:left="360"/>
        <w:rPr>
          <w:sz w:val="22"/>
          <w:szCs w:val="22"/>
        </w:rPr>
      </w:pPr>
      <w:r w:rsidRPr="00890622">
        <w:rPr>
          <w:sz w:val="22"/>
          <w:szCs w:val="22"/>
        </w:rPr>
        <w:t>Although f</w:t>
      </w:r>
      <w:r w:rsidR="000514CE" w:rsidRPr="00890622">
        <w:rPr>
          <w:sz w:val="22"/>
          <w:szCs w:val="22"/>
        </w:rPr>
        <w:t xml:space="preserve">orward rates </w:t>
      </w:r>
      <w:r w:rsidRPr="00890622">
        <w:rPr>
          <w:sz w:val="22"/>
          <w:szCs w:val="22"/>
        </w:rPr>
        <w:t xml:space="preserve">may </w:t>
      </w:r>
      <w:r w:rsidR="000514CE" w:rsidRPr="00890622">
        <w:rPr>
          <w:sz w:val="22"/>
          <w:szCs w:val="22"/>
        </w:rPr>
        <w:t xml:space="preserve">have poor </w:t>
      </w:r>
      <w:r w:rsidR="003D7863" w:rsidRPr="00890622">
        <w:rPr>
          <w:sz w:val="22"/>
          <w:szCs w:val="22"/>
        </w:rPr>
        <w:t>predictive value</w:t>
      </w:r>
      <w:r w:rsidRPr="00890622">
        <w:rPr>
          <w:sz w:val="22"/>
          <w:szCs w:val="22"/>
        </w:rPr>
        <w:t>,</w:t>
      </w:r>
      <w:r w:rsidR="000514CE" w:rsidRPr="00890622">
        <w:rPr>
          <w:sz w:val="22"/>
          <w:szCs w:val="22"/>
        </w:rPr>
        <w:t xml:space="preserve"> the ability to lock-in borrowing or lending rates at some future time is a powerful tool for investors and other market participants</w:t>
      </w:r>
      <w:r w:rsidR="00A202E7" w:rsidRPr="00890622">
        <w:rPr>
          <w:sz w:val="22"/>
          <w:szCs w:val="22"/>
        </w:rPr>
        <w:t>.</w:t>
      </w:r>
    </w:p>
    <w:p w:rsidR="00C72B2E" w:rsidRPr="00890622" w:rsidRDefault="00C72B2E" w:rsidP="00C72B2E">
      <w:pPr>
        <w:autoSpaceDE w:val="0"/>
        <w:autoSpaceDN w:val="0"/>
        <w:adjustRightInd w:val="0"/>
        <w:rPr>
          <w:b/>
          <w:sz w:val="22"/>
          <w:szCs w:val="22"/>
        </w:rPr>
      </w:pPr>
    </w:p>
    <w:p w:rsidR="00106634" w:rsidRPr="00890622" w:rsidRDefault="00106634" w:rsidP="00C72B2E">
      <w:pPr>
        <w:pStyle w:val="ListParagraph"/>
        <w:numPr>
          <w:ilvl w:val="0"/>
          <w:numId w:val="13"/>
        </w:numPr>
        <w:autoSpaceDE w:val="0"/>
        <w:autoSpaceDN w:val="0"/>
        <w:adjustRightInd w:val="0"/>
        <w:rPr>
          <w:b/>
          <w:sz w:val="22"/>
          <w:szCs w:val="22"/>
        </w:rPr>
      </w:pPr>
      <w:r w:rsidRPr="00890622">
        <w:rPr>
          <w:b/>
          <w:bCs/>
          <w:sz w:val="22"/>
          <w:szCs w:val="22"/>
        </w:rPr>
        <w:t>Answer the below questions.</w:t>
      </w:r>
    </w:p>
    <w:p w:rsidR="00C72B2E" w:rsidRPr="00890622" w:rsidRDefault="00C72B2E" w:rsidP="00C72B2E">
      <w:pPr>
        <w:pStyle w:val="ListParagraph"/>
        <w:widowControl w:val="0"/>
        <w:autoSpaceDE w:val="0"/>
        <w:autoSpaceDN w:val="0"/>
        <w:adjustRightInd w:val="0"/>
        <w:rPr>
          <w:b/>
          <w:sz w:val="22"/>
          <w:szCs w:val="22"/>
        </w:rPr>
      </w:pPr>
    </w:p>
    <w:p w:rsidR="00106634" w:rsidRPr="00890622" w:rsidRDefault="00106634" w:rsidP="0074104A">
      <w:pPr>
        <w:pStyle w:val="ListParagraph"/>
        <w:widowControl w:val="0"/>
        <w:numPr>
          <w:ilvl w:val="0"/>
          <w:numId w:val="14"/>
        </w:numPr>
        <w:autoSpaceDE w:val="0"/>
        <w:autoSpaceDN w:val="0"/>
        <w:adjustRightInd w:val="0"/>
        <w:rPr>
          <w:b/>
          <w:sz w:val="22"/>
          <w:szCs w:val="22"/>
        </w:rPr>
      </w:pPr>
      <w:r w:rsidRPr="00890622">
        <w:rPr>
          <w:b/>
          <w:sz w:val="22"/>
          <w:szCs w:val="22"/>
        </w:rPr>
        <w:t>What is meant by the swap rate?</w:t>
      </w:r>
    </w:p>
    <w:p w:rsidR="004F37B4" w:rsidRDefault="004F37B4" w:rsidP="00C72B2E">
      <w:pPr>
        <w:autoSpaceDE w:val="0"/>
        <w:autoSpaceDN w:val="0"/>
        <w:adjustRightInd w:val="0"/>
        <w:ind w:left="720"/>
        <w:rPr>
          <w:sz w:val="22"/>
          <w:szCs w:val="22"/>
        </w:rPr>
      </w:pPr>
    </w:p>
    <w:p w:rsidR="00570DD1" w:rsidRPr="00890622" w:rsidRDefault="00570DD1" w:rsidP="00C72B2E">
      <w:pPr>
        <w:autoSpaceDE w:val="0"/>
        <w:autoSpaceDN w:val="0"/>
        <w:adjustRightInd w:val="0"/>
        <w:ind w:left="720"/>
        <w:rPr>
          <w:sz w:val="22"/>
          <w:szCs w:val="22"/>
        </w:rPr>
      </w:pPr>
      <w:r w:rsidRPr="00890622">
        <w:rPr>
          <w:sz w:val="22"/>
          <w:szCs w:val="22"/>
        </w:rPr>
        <w:t xml:space="preserve">First: What are interest rate swaps and how are they used? </w:t>
      </w:r>
    </w:p>
    <w:p w:rsidR="00570DD1" w:rsidRPr="00890622" w:rsidRDefault="00570DD1" w:rsidP="00C72B2E">
      <w:pPr>
        <w:autoSpaceDE w:val="0"/>
        <w:autoSpaceDN w:val="0"/>
        <w:adjustRightInd w:val="0"/>
        <w:ind w:left="720"/>
        <w:rPr>
          <w:sz w:val="22"/>
          <w:szCs w:val="22"/>
        </w:rPr>
      </w:pPr>
    </w:p>
    <w:p w:rsidR="00C72B2E" w:rsidRPr="00890622" w:rsidRDefault="00C72B2E" w:rsidP="00C72B2E">
      <w:pPr>
        <w:autoSpaceDE w:val="0"/>
        <w:autoSpaceDN w:val="0"/>
        <w:adjustRightInd w:val="0"/>
        <w:ind w:left="720"/>
        <w:rPr>
          <w:sz w:val="22"/>
          <w:szCs w:val="22"/>
        </w:rPr>
      </w:pPr>
      <w:r w:rsidRPr="00890622">
        <w:rPr>
          <w:sz w:val="22"/>
          <w:szCs w:val="22"/>
        </w:rPr>
        <w:t xml:space="preserve">An interest rate swap is a series of </w:t>
      </w:r>
      <w:r w:rsidR="00A679A2" w:rsidRPr="00890622">
        <w:rPr>
          <w:sz w:val="22"/>
          <w:szCs w:val="22"/>
        </w:rPr>
        <w:t xml:space="preserve">agreements between two parties, </w:t>
      </w:r>
      <w:r w:rsidRPr="00890622">
        <w:rPr>
          <w:sz w:val="22"/>
          <w:szCs w:val="22"/>
        </w:rPr>
        <w:t>one of which is usually a bank</w:t>
      </w:r>
      <w:r w:rsidR="00776A6B" w:rsidRPr="00890622">
        <w:rPr>
          <w:sz w:val="22"/>
          <w:szCs w:val="22"/>
        </w:rPr>
        <w:t xml:space="preserve"> acting as a swap dealer</w:t>
      </w:r>
      <w:r w:rsidR="00A679A2" w:rsidRPr="00890622">
        <w:rPr>
          <w:sz w:val="22"/>
          <w:szCs w:val="22"/>
        </w:rPr>
        <w:t xml:space="preserve">. The two parties agree </w:t>
      </w:r>
      <w:r w:rsidRPr="00890622">
        <w:rPr>
          <w:sz w:val="22"/>
          <w:szCs w:val="22"/>
        </w:rPr>
        <w:t>to exchange a fixed interest rate on a notional amount</w:t>
      </w:r>
      <w:r w:rsidR="00061670" w:rsidRPr="00890622">
        <w:rPr>
          <w:sz w:val="22"/>
          <w:szCs w:val="22"/>
        </w:rPr>
        <w:t xml:space="preserve"> </w:t>
      </w:r>
      <w:r w:rsidRPr="00890622">
        <w:rPr>
          <w:sz w:val="22"/>
          <w:szCs w:val="22"/>
        </w:rPr>
        <w:t xml:space="preserve">for a variable interest rate on the </w:t>
      </w:r>
      <w:r w:rsidR="00061670" w:rsidRPr="00890622">
        <w:rPr>
          <w:sz w:val="22"/>
          <w:szCs w:val="22"/>
        </w:rPr>
        <w:t xml:space="preserve">same </w:t>
      </w:r>
      <w:r w:rsidRPr="00890622">
        <w:rPr>
          <w:sz w:val="22"/>
          <w:szCs w:val="22"/>
        </w:rPr>
        <w:t xml:space="preserve">notional amount. </w:t>
      </w:r>
    </w:p>
    <w:p w:rsidR="00C72B2E" w:rsidRPr="00890622" w:rsidRDefault="00C72B2E" w:rsidP="00C72B2E">
      <w:pPr>
        <w:autoSpaceDE w:val="0"/>
        <w:autoSpaceDN w:val="0"/>
        <w:adjustRightInd w:val="0"/>
        <w:ind w:left="720"/>
        <w:rPr>
          <w:sz w:val="22"/>
          <w:szCs w:val="22"/>
        </w:rPr>
      </w:pPr>
    </w:p>
    <w:p w:rsidR="00C72B2E" w:rsidRPr="00890622" w:rsidRDefault="00C72B2E" w:rsidP="00C72B2E">
      <w:pPr>
        <w:autoSpaceDE w:val="0"/>
        <w:autoSpaceDN w:val="0"/>
        <w:adjustRightInd w:val="0"/>
        <w:ind w:left="720"/>
        <w:rPr>
          <w:sz w:val="22"/>
          <w:szCs w:val="22"/>
        </w:rPr>
      </w:pPr>
      <w:r w:rsidRPr="00890622">
        <w:rPr>
          <w:sz w:val="22"/>
          <w:szCs w:val="22"/>
        </w:rPr>
        <w:t xml:space="preserve">For example, an corporation will enter into a swap agreement with an investment bank to pay to the bank 3.00% on $100 million each year for the next 5 years and receive from the bank LIBOR </w:t>
      </w:r>
      <w:r w:rsidR="00A679A2" w:rsidRPr="00890622">
        <w:rPr>
          <w:sz w:val="22"/>
          <w:szCs w:val="22"/>
        </w:rPr>
        <w:t xml:space="preserve">(a floating rate) </w:t>
      </w:r>
      <w:r w:rsidRPr="00890622">
        <w:rPr>
          <w:sz w:val="22"/>
          <w:szCs w:val="22"/>
        </w:rPr>
        <w:t>on $100 million.  At the time the contract is initiated, LIBOR will equal 3%</w:t>
      </w:r>
      <w:r w:rsidR="00061670" w:rsidRPr="00890622">
        <w:rPr>
          <w:sz w:val="22"/>
          <w:szCs w:val="22"/>
        </w:rPr>
        <w:t xml:space="preserve">. If LIBOR </w:t>
      </w:r>
      <w:r w:rsidRPr="00890622">
        <w:rPr>
          <w:sz w:val="22"/>
          <w:szCs w:val="22"/>
        </w:rPr>
        <w:t xml:space="preserve">does not change, the corporation will owe 3% of $100 ($3) and be owed 3% of $100 ($3) so no exchange will take place.  </w:t>
      </w:r>
    </w:p>
    <w:p w:rsidR="00C72B2E" w:rsidRPr="00890622" w:rsidRDefault="00C72B2E" w:rsidP="00C72B2E">
      <w:pPr>
        <w:autoSpaceDE w:val="0"/>
        <w:autoSpaceDN w:val="0"/>
        <w:adjustRightInd w:val="0"/>
        <w:ind w:left="720"/>
        <w:rPr>
          <w:sz w:val="22"/>
          <w:szCs w:val="22"/>
        </w:rPr>
      </w:pPr>
    </w:p>
    <w:p w:rsidR="00C72B2E" w:rsidRPr="00890622" w:rsidRDefault="00C72B2E" w:rsidP="00C72B2E">
      <w:pPr>
        <w:autoSpaceDE w:val="0"/>
        <w:autoSpaceDN w:val="0"/>
        <w:adjustRightInd w:val="0"/>
        <w:ind w:left="720"/>
        <w:rPr>
          <w:sz w:val="22"/>
          <w:szCs w:val="22"/>
        </w:rPr>
      </w:pPr>
      <w:r w:rsidRPr="00890622">
        <w:rPr>
          <w:sz w:val="22"/>
          <w:szCs w:val="22"/>
        </w:rPr>
        <w:lastRenderedPageBreak/>
        <w:t xml:space="preserve">If LIBOR increase to 4%, the corporation will still owe the fixed rate of 3% ($3) but be owed 4% ($4) so the bank pays the corporation $1.  </w:t>
      </w:r>
    </w:p>
    <w:p w:rsidR="00C72B2E" w:rsidRPr="00890622" w:rsidRDefault="00C72B2E" w:rsidP="00C72B2E">
      <w:pPr>
        <w:autoSpaceDE w:val="0"/>
        <w:autoSpaceDN w:val="0"/>
        <w:adjustRightInd w:val="0"/>
        <w:ind w:left="720"/>
        <w:rPr>
          <w:sz w:val="22"/>
          <w:szCs w:val="22"/>
        </w:rPr>
      </w:pPr>
      <w:r w:rsidRPr="00890622">
        <w:rPr>
          <w:sz w:val="22"/>
          <w:szCs w:val="22"/>
        </w:rPr>
        <w:t xml:space="preserve">If LIBOR decrease to 2%, the corporation will still owe the fixed rate of 3% ($3) but be owed 2% ($2) so the corporation pays the bank $1.  </w:t>
      </w:r>
    </w:p>
    <w:p w:rsidR="00C72B2E" w:rsidRPr="00890622" w:rsidRDefault="00C72B2E" w:rsidP="00C72B2E">
      <w:pPr>
        <w:autoSpaceDE w:val="0"/>
        <w:autoSpaceDN w:val="0"/>
        <w:adjustRightInd w:val="0"/>
        <w:ind w:left="720"/>
        <w:rPr>
          <w:sz w:val="22"/>
          <w:szCs w:val="22"/>
        </w:rPr>
      </w:pPr>
    </w:p>
    <w:p w:rsidR="00570DD1" w:rsidRPr="00890622" w:rsidRDefault="00C72B2E" w:rsidP="00C72B2E">
      <w:pPr>
        <w:autoSpaceDE w:val="0"/>
        <w:autoSpaceDN w:val="0"/>
        <w:adjustRightInd w:val="0"/>
        <w:ind w:left="720"/>
        <w:rPr>
          <w:sz w:val="22"/>
          <w:szCs w:val="22"/>
        </w:rPr>
      </w:pPr>
      <w:r w:rsidRPr="00890622">
        <w:rPr>
          <w:sz w:val="22"/>
          <w:szCs w:val="22"/>
        </w:rPr>
        <w:t xml:space="preserve">The corporation might </w:t>
      </w:r>
      <w:r w:rsidR="00570DD1" w:rsidRPr="00890622">
        <w:rPr>
          <w:sz w:val="22"/>
          <w:szCs w:val="22"/>
        </w:rPr>
        <w:t xml:space="preserve">enter into this swap </w:t>
      </w:r>
      <w:r w:rsidRPr="00890622">
        <w:rPr>
          <w:sz w:val="22"/>
          <w:szCs w:val="22"/>
        </w:rPr>
        <w:t xml:space="preserve">to speculate on interest rates or </w:t>
      </w:r>
      <w:r w:rsidR="00570DD1" w:rsidRPr="00890622">
        <w:rPr>
          <w:sz w:val="22"/>
          <w:szCs w:val="22"/>
        </w:rPr>
        <w:t>(more likely) to hedge a floating rate bond that it has issued. The floating rate bond would require the corporation to make larger payments in a rising interest rate environment</w:t>
      </w:r>
      <w:r w:rsidR="00061670" w:rsidRPr="00890622">
        <w:rPr>
          <w:sz w:val="22"/>
          <w:szCs w:val="22"/>
        </w:rPr>
        <w:t>. T</w:t>
      </w:r>
      <w:r w:rsidR="00570DD1" w:rsidRPr="00890622">
        <w:rPr>
          <w:sz w:val="22"/>
          <w:szCs w:val="22"/>
        </w:rPr>
        <w:t xml:space="preserve">hese larger bond payments would be off-set by the proceeds from the swap.   </w:t>
      </w:r>
    </w:p>
    <w:p w:rsidR="00570DD1" w:rsidRPr="00890622" w:rsidRDefault="00570DD1" w:rsidP="00C72B2E">
      <w:pPr>
        <w:autoSpaceDE w:val="0"/>
        <w:autoSpaceDN w:val="0"/>
        <w:adjustRightInd w:val="0"/>
        <w:ind w:left="720"/>
        <w:rPr>
          <w:sz w:val="22"/>
          <w:szCs w:val="22"/>
        </w:rPr>
      </w:pPr>
    </w:p>
    <w:p w:rsidR="00106634" w:rsidRPr="00890622" w:rsidRDefault="00776A6B" w:rsidP="00C72B2E">
      <w:pPr>
        <w:autoSpaceDE w:val="0"/>
        <w:autoSpaceDN w:val="0"/>
        <w:adjustRightInd w:val="0"/>
        <w:ind w:left="720"/>
        <w:rPr>
          <w:sz w:val="22"/>
          <w:szCs w:val="22"/>
        </w:rPr>
      </w:pPr>
      <w:r w:rsidRPr="00890622">
        <w:rPr>
          <w:sz w:val="22"/>
          <w:szCs w:val="22"/>
        </w:rPr>
        <w:t xml:space="preserve">The </w:t>
      </w:r>
      <w:r w:rsidRPr="00890622">
        <w:rPr>
          <w:b/>
          <w:bCs/>
          <w:i/>
          <w:sz w:val="22"/>
          <w:szCs w:val="22"/>
        </w:rPr>
        <w:t>swap rate</w:t>
      </w:r>
      <w:r w:rsidRPr="00890622">
        <w:rPr>
          <w:b/>
          <w:bCs/>
          <w:sz w:val="22"/>
          <w:szCs w:val="22"/>
        </w:rPr>
        <w:t xml:space="preserve"> </w:t>
      </w:r>
      <w:r w:rsidRPr="00890622">
        <w:rPr>
          <w:bCs/>
          <w:sz w:val="22"/>
          <w:szCs w:val="22"/>
        </w:rPr>
        <w:t xml:space="preserve">is the </w:t>
      </w:r>
      <w:r w:rsidR="00106634" w:rsidRPr="00890622">
        <w:rPr>
          <w:sz w:val="22"/>
          <w:szCs w:val="22"/>
        </w:rPr>
        <w:t xml:space="preserve">fixed interest rate that is paid by the fixed rate </w:t>
      </w:r>
      <w:r w:rsidR="00061670" w:rsidRPr="00890622">
        <w:rPr>
          <w:sz w:val="22"/>
          <w:szCs w:val="22"/>
        </w:rPr>
        <w:t xml:space="preserve">swap </w:t>
      </w:r>
      <w:r w:rsidR="00106634" w:rsidRPr="00890622">
        <w:rPr>
          <w:sz w:val="22"/>
          <w:szCs w:val="22"/>
        </w:rPr>
        <w:t>counterparty</w:t>
      </w:r>
      <w:r w:rsidRPr="00890622">
        <w:rPr>
          <w:sz w:val="22"/>
          <w:szCs w:val="22"/>
        </w:rPr>
        <w:t>.</w:t>
      </w:r>
      <w:r w:rsidR="00106634" w:rsidRPr="00890622">
        <w:rPr>
          <w:sz w:val="22"/>
          <w:szCs w:val="22"/>
        </w:rPr>
        <w:t xml:space="preserve"> </w:t>
      </w:r>
      <w:r w:rsidRPr="00890622">
        <w:rPr>
          <w:sz w:val="22"/>
          <w:szCs w:val="22"/>
        </w:rPr>
        <w:t>Banks acting as swap d</w:t>
      </w:r>
      <w:r w:rsidR="00106634" w:rsidRPr="00890622">
        <w:rPr>
          <w:sz w:val="22"/>
          <w:szCs w:val="22"/>
        </w:rPr>
        <w:t>ealers quote swap rates for different maturities.</w:t>
      </w:r>
    </w:p>
    <w:p w:rsidR="00776A6B" w:rsidRPr="00890622" w:rsidRDefault="00776A6B" w:rsidP="00C72B2E">
      <w:pPr>
        <w:autoSpaceDE w:val="0"/>
        <w:autoSpaceDN w:val="0"/>
        <w:adjustRightInd w:val="0"/>
        <w:ind w:left="720"/>
        <w:rPr>
          <w:sz w:val="22"/>
          <w:szCs w:val="22"/>
        </w:rPr>
      </w:pPr>
    </w:p>
    <w:p w:rsidR="00106634" w:rsidRPr="00890622" w:rsidRDefault="00106634" w:rsidP="00776A6B">
      <w:pPr>
        <w:pStyle w:val="ListParagraph"/>
        <w:widowControl w:val="0"/>
        <w:numPr>
          <w:ilvl w:val="0"/>
          <w:numId w:val="14"/>
        </w:numPr>
        <w:autoSpaceDE w:val="0"/>
        <w:autoSpaceDN w:val="0"/>
        <w:adjustRightInd w:val="0"/>
        <w:rPr>
          <w:b/>
          <w:sz w:val="22"/>
          <w:szCs w:val="22"/>
        </w:rPr>
      </w:pPr>
      <w:r w:rsidRPr="00890622">
        <w:rPr>
          <w:b/>
          <w:sz w:val="22"/>
          <w:szCs w:val="22"/>
        </w:rPr>
        <w:t>What is meant by the swap curve?</w:t>
      </w:r>
    </w:p>
    <w:p w:rsidR="004F37B4" w:rsidRDefault="004F37B4" w:rsidP="00776A6B">
      <w:pPr>
        <w:autoSpaceDE w:val="0"/>
        <w:autoSpaceDN w:val="0"/>
        <w:adjustRightInd w:val="0"/>
        <w:ind w:left="720"/>
        <w:rPr>
          <w:sz w:val="22"/>
          <w:szCs w:val="22"/>
        </w:rPr>
      </w:pPr>
    </w:p>
    <w:p w:rsidR="00106634" w:rsidRPr="00890622" w:rsidRDefault="00106634" w:rsidP="00776A6B">
      <w:pPr>
        <w:autoSpaceDE w:val="0"/>
        <w:autoSpaceDN w:val="0"/>
        <w:adjustRightInd w:val="0"/>
        <w:ind w:left="720"/>
        <w:rPr>
          <w:sz w:val="22"/>
          <w:szCs w:val="22"/>
        </w:rPr>
      </w:pPr>
      <w:r w:rsidRPr="00890622">
        <w:rPr>
          <w:sz w:val="22"/>
          <w:szCs w:val="22"/>
        </w:rPr>
        <w:t xml:space="preserve">The </w:t>
      </w:r>
      <w:r w:rsidR="00776A6B" w:rsidRPr="00890622">
        <w:rPr>
          <w:sz w:val="22"/>
          <w:szCs w:val="22"/>
        </w:rPr>
        <w:t xml:space="preserve">graphical </w:t>
      </w:r>
      <w:r w:rsidRPr="00890622">
        <w:rPr>
          <w:sz w:val="22"/>
          <w:szCs w:val="22"/>
        </w:rPr>
        <w:t>relationship between swap rate</w:t>
      </w:r>
      <w:r w:rsidR="00776A6B" w:rsidRPr="00890622">
        <w:rPr>
          <w:sz w:val="22"/>
          <w:szCs w:val="22"/>
        </w:rPr>
        <w:t>s</w:t>
      </w:r>
      <w:r w:rsidRPr="00890622">
        <w:rPr>
          <w:sz w:val="22"/>
          <w:szCs w:val="22"/>
        </w:rPr>
        <w:t xml:space="preserve"> and maturity of a swap is called the </w:t>
      </w:r>
      <w:r w:rsidRPr="00890622">
        <w:rPr>
          <w:b/>
          <w:bCs/>
          <w:sz w:val="22"/>
          <w:szCs w:val="22"/>
        </w:rPr>
        <w:t xml:space="preserve">swap rate yield curve </w:t>
      </w:r>
      <w:r w:rsidRPr="00890622">
        <w:rPr>
          <w:sz w:val="22"/>
          <w:szCs w:val="22"/>
        </w:rPr>
        <w:t xml:space="preserve">or, more commonly, the </w:t>
      </w:r>
      <w:r w:rsidRPr="00890622">
        <w:rPr>
          <w:b/>
          <w:bCs/>
          <w:sz w:val="22"/>
          <w:szCs w:val="22"/>
        </w:rPr>
        <w:t>swap curve</w:t>
      </w:r>
      <w:r w:rsidRPr="00890622">
        <w:rPr>
          <w:sz w:val="22"/>
          <w:szCs w:val="22"/>
        </w:rPr>
        <w:t xml:space="preserve">. Because the reference rate is typically LIBOR, the swap curve is also called the </w:t>
      </w:r>
      <w:r w:rsidRPr="00890622">
        <w:rPr>
          <w:b/>
          <w:bCs/>
          <w:sz w:val="22"/>
          <w:szCs w:val="22"/>
        </w:rPr>
        <w:t>LIBOR curve</w:t>
      </w:r>
      <w:r w:rsidRPr="00890622">
        <w:rPr>
          <w:sz w:val="22"/>
          <w:szCs w:val="22"/>
        </w:rPr>
        <w:t>.</w:t>
      </w:r>
    </w:p>
    <w:p w:rsidR="003C78B0" w:rsidRPr="00890622" w:rsidRDefault="003C78B0" w:rsidP="00776A6B">
      <w:pPr>
        <w:autoSpaceDE w:val="0"/>
        <w:autoSpaceDN w:val="0"/>
        <w:adjustRightInd w:val="0"/>
        <w:ind w:left="720"/>
        <w:rPr>
          <w:sz w:val="22"/>
          <w:szCs w:val="22"/>
        </w:rPr>
      </w:pPr>
    </w:p>
    <w:p w:rsidR="00106634" w:rsidRPr="00890622" w:rsidRDefault="00106634" w:rsidP="00106634">
      <w:pPr>
        <w:pStyle w:val="ListParagraph"/>
        <w:widowControl w:val="0"/>
        <w:numPr>
          <w:ilvl w:val="0"/>
          <w:numId w:val="14"/>
        </w:numPr>
        <w:autoSpaceDE w:val="0"/>
        <w:autoSpaceDN w:val="0"/>
        <w:adjustRightInd w:val="0"/>
        <w:rPr>
          <w:b/>
          <w:sz w:val="22"/>
          <w:szCs w:val="22"/>
        </w:rPr>
      </w:pPr>
      <w:r w:rsidRPr="00890622">
        <w:rPr>
          <w:b/>
          <w:sz w:val="22"/>
          <w:szCs w:val="22"/>
        </w:rPr>
        <w:t>Explain whether you agree or disagree with the following statement: “A country’s swap curve is a default-free yield curve.”</w:t>
      </w:r>
    </w:p>
    <w:p w:rsidR="004F37B4" w:rsidRDefault="004F37B4" w:rsidP="003C78B0">
      <w:pPr>
        <w:autoSpaceDE w:val="0"/>
        <w:autoSpaceDN w:val="0"/>
        <w:adjustRightInd w:val="0"/>
        <w:ind w:left="720"/>
        <w:rPr>
          <w:sz w:val="22"/>
          <w:szCs w:val="22"/>
        </w:rPr>
      </w:pPr>
    </w:p>
    <w:p w:rsidR="003C78B0" w:rsidRPr="00890622" w:rsidRDefault="00106634" w:rsidP="003C78B0">
      <w:pPr>
        <w:autoSpaceDE w:val="0"/>
        <w:autoSpaceDN w:val="0"/>
        <w:adjustRightInd w:val="0"/>
        <w:ind w:left="720"/>
        <w:rPr>
          <w:sz w:val="22"/>
          <w:szCs w:val="22"/>
        </w:rPr>
      </w:pPr>
      <w:r w:rsidRPr="00890622">
        <w:rPr>
          <w:sz w:val="22"/>
          <w:szCs w:val="22"/>
        </w:rPr>
        <w:t>The swap rate yield curve</w:t>
      </w:r>
      <w:r w:rsidR="003C78B0" w:rsidRPr="00890622">
        <w:rPr>
          <w:sz w:val="22"/>
          <w:szCs w:val="22"/>
        </w:rPr>
        <w:t xml:space="preserve"> (</w:t>
      </w:r>
      <w:r w:rsidRPr="00890622">
        <w:rPr>
          <w:sz w:val="22"/>
          <w:szCs w:val="22"/>
        </w:rPr>
        <w:t>or swap curve or LIBOR curve</w:t>
      </w:r>
      <w:r w:rsidR="003C78B0" w:rsidRPr="00890622">
        <w:rPr>
          <w:sz w:val="22"/>
          <w:szCs w:val="22"/>
        </w:rPr>
        <w:t>)</w:t>
      </w:r>
      <w:r w:rsidRPr="00890622">
        <w:rPr>
          <w:sz w:val="22"/>
          <w:szCs w:val="22"/>
        </w:rPr>
        <w:t xml:space="preserve"> provides information about </w:t>
      </w:r>
      <w:r w:rsidR="003C78B0" w:rsidRPr="00890622">
        <w:rPr>
          <w:sz w:val="22"/>
          <w:szCs w:val="22"/>
        </w:rPr>
        <w:t>available borrowing and lending rates</w:t>
      </w:r>
      <w:r w:rsidRPr="00890622">
        <w:rPr>
          <w:sz w:val="22"/>
          <w:szCs w:val="22"/>
        </w:rPr>
        <w:t xml:space="preserve"> in a country and is used as an interest rate benchmark. </w:t>
      </w:r>
      <w:r w:rsidR="003C78B0" w:rsidRPr="00890622">
        <w:rPr>
          <w:sz w:val="22"/>
          <w:szCs w:val="22"/>
        </w:rPr>
        <w:t>S</w:t>
      </w:r>
      <w:r w:rsidRPr="00890622">
        <w:rPr>
          <w:sz w:val="22"/>
          <w:szCs w:val="22"/>
        </w:rPr>
        <w:t>wap</w:t>
      </w:r>
      <w:r w:rsidR="003C78B0" w:rsidRPr="00890622">
        <w:rPr>
          <w:sz w:val="22"/>
          <w:szCs w:val="22"/>
        </w:rPr>
        <w:t>s</w:t>
      </w:r>
      <w:r w:rsidRPr="00890622">
        <w:rPr>
          <w:sz w:val="22"/>
          <w:szCs w:val="22"/>
        </w:rPr>
        <w:t xml:space="preserve"> </w:t>
      </w:r>
      <w:r w:rsidR="003C78B0" w:rsidRPr="00890622">
        <w:rPr>
          <w:sz w:val="22"/>
          <w:szCs w:val="22"/>
        </w:rPr>
        <w:t xml:space="preserve">are not default-risk free therefore the </w:t>
      </w:r>
      <w:r w:rsidRPr="00890622">
        <w:rPr>
          <w:sz w:val="22"/>
          <w:szCs w:val="22"/>
        </w:rPr>
        <w:t>curve is not a default-free yield curve</w:t>
      </w:r>
      <w:r w:rsidR="003C78B0" w:rsidRPr="00890622">
        <w:rPr>
          <w:sz w:val="22"/>
          <w:szCs w:val="22"/>
        </w:rPr>
        <w:t xml:space="preserve"> - </w:t>
      </w:r>
      <w:r w:rsidRPr="00890622">
        <w:rPr>
          <w:sz w:val="22"/>
          <w:szCs w:val="22"/>
        </w:rPr>
        <w:t xml:space="preserve">it reflects </w:t>
      </w:r>
      <w:r w:rsidR="003C78B0" w:rsidRPr="00890622">
        <w:rPr>
          <w:sz w:val="22"/>
          <w:szCs w:val="22"/>
        </w:rPr>
        <w:t xml:space="preserve">the </w:t>
      </w:r>
      <w:r w:rsidRPr="00890622">
        <w:rPr>
          <w:sz w:val="22"/>
          <w:szCs w:val="22"/>
        </w:rPr>
        <w:t>credit risk</w:t>
      </w:r>
      <w:r w:rsidR="003C78B0" w:rsidRPr="00890622">
        <w:rPr>
          <w:sz w:val="22"/>
          <w:szCs w:val="22"/>
        </w:rPr>
        <w:t xml:space="preserve"> of the banks in that country acting as swap dealers. </w:t>
      </w:r>
    </w:p>
    <w:p w:rsidR="003C78B0" w:rsidRPr="00890622" w:rsidRDefault="003C78B0" w:rsidP="003C78B0">
      <w:pPr>
        <w:autoSpaceDE w:val="0"/>
        <w:autoSpaceDN w:val="0"/>
        <w:adjustRightInd w:val="0"/>
        <w:ind w:left="720"/>
        <w:rPr>
          <w:sz w:val="22"/>
          <w:szCs w:val="22"/>
        </w:rPr>
      </w:pPr>
    </w:p>
    <w:p w:rsidR="00106634" w:rsidRPr="00890622" w:rsidRDefault="00106634" w:rsidP="003C78B0">
      <w:pPr>
        <w:autoSpaceDE w:val="0"/>
        <w:autoSpaceDN w:val="0"/>
        <w:adjustRightInd w:val="0"/>
        <w:ind w:left="720"/>
        <w:rPr>
          <w:sz w:val="22"/>
          <w:szCs w:val="22"/>
        </w:rPr>
      </w:pPr>
      <w:r w:rsidRPr="00890622">
        <w:rPr>
          <w:sz w:val="22"/>
          <w:szCs w:val="22"/>
        </w:rPr>
        <w:t xml:space="preserve">Unlike a country’s government bond yield curve, the swap curve reflects the credit risk of the counterparty to an interest rate swap. Since the counterparty to an interest rate swap is typically a </w:t>
      </w:r>
      <w:r w:rsidR="003C78B0" w:rsidRPr="00890622">
        <w:rPr>
          <w:sz w:val="22"/>
          <w:szCs w:val="22"/>
        </w:rPr>
        <w:t>bank (or “</w:t>
      </w:r>
      <w:r w:rsidRPr="00890622">
        <w:rPr>
          <w:sz w:val="22"/>
          <w:szCs w:val="22"/>
        </w:rPr>
        <w:t>bank-related entity</w:t>
      </w:r>
      <w:r w:rsidR="003C78B0" w:rsidRPr="00890622">
        <w:rPr>
          <w:sz w:val="22"/>
          <w:szCs w:val="22"/>
        </w:rPr>
        <w:t>”)</w:t>
      </w:r>
      <w:r w:rsidRPr="00890622">
        <w:rPr>
          <w:sz w:val="22"/>
          <w:szCs w:val="22"/>
        </w:rPr>
        <w:t xml:space="preserve"> the swap curve reflects the average credit risk of representative banks that provide interest rate swaps.</w:t>
      </w:r>
    </w:p>
    <w:p w:rsidR="00106634" w:rsidRPr="00890622" w:rsidRDefault="00106634" w:rsidP="00106634">
      <w:pPr>
        <w:autoSpaceDE w:val="0"/>
        <w:autoSpaceDN w:val="0"/>
        <w:adjustRightInd w:val="0"/>
        <w:rPr>
          <w:sz w:val="22"/>
          <w:szCs w:val="22"/>
        </w:rPr>
      </w:pPr>
    </w:p>
    <w:p w:rsidR="00106634" w:rsidRPr="00890622" w:rsidRDefault="00106634" w:rsidP="00106634">
      <w:pPr>
        <w:pStyle w:val="ListParagraph"/>
        <w:numPr>
          <w:ilvl w:val="0"/>
          <w:numId w:val="13"/>
        </w:numPr>
        <w:autoSpaceDE w:val="0"/>
        <w:autoSpaceDN w:val="0"/>
        <w:adjustRightInd w:val="0"/>
        <w:rPr>
          <w:b/>
          <w:sz w:val="22"/>
          <w:szCs w:val="22"/>
        </w:rPr>
      </w:pPr>
      <w:r w:rsidRPr="00890622">
        <w:rPr>
          <w:b/>
          <w:sz w:val="22"/>
          <w:szCs w:val="22"/>
        </w:rPr>
        <w:t xml:space="preserve">Why do market participants in some countries prefer to use the swap curve </w:t>
      </w:r>
      <w:r w:rsidR="003C78B0" w:rsidRPr="00890622">
        <w:rPr>
          <w:b/>
          <w:sz w:val="22"/>
          <w:szCs w:val="22"/>
        </w:rPr>
        <w:t xml:space="preserve">(as the base interest rate curve) </w:t>
      </w:r>
      <w:r w:rsidRPr="00890622">
        <w:rPr>
          <w:b/>
          <w:sz w:val="22"/>
          <w:szCs w:val="22"/>
        </w:rPr>
        <w:t>rather than the government bond yield curve</w:t>
      </w:r>
      <w:r w:rsidR="003C78B0" w:rsidRPr="00890622">
        <w:rPr>
          <w:b/>
          <w:sz w:val="22"/>
          <w:szCs w:val="22"/>
        </w:rPr>
        <w:t xml:space="preserve"> (as the base interest rate curve)</w:t>
      </w:r>
      <w:r w:rsidRPr="00890622">
        <w:rPr>
          <w:b/>
          <w:sz w:val="22"/>
          <w:szCs w:val="22"/>
        </w:rPr>
        <w:t>?</w:t>
      </w:r>
    </w:p>
    <w:p w:rsidR="004F37B4" w:rsidRDefault="004F37B4" w:rsidP="003C78B0">
      <w:pPr>
        <w:autoSpaceDE w:val="0"/>
        <w:autoSpaceDN w:val="0"/>
        <w:adjustRightInd w:val="0"/>
        <w:ind w:left="360"/>
        <w:rPr>
          <w:sz w:val="22"/>
          <w:szCs w:val="22"/>
        </w:rPr>
      </w:pPr>
    </w:p>
    <w:p w:rsidR="003C78B0" w:rsidRPr="00890622" w:rsidRDefault="00106634" w:rsidP="003C78B0">
      <w:pPr>
        <w:autoSpaceDE w:val="0"/>
        <w:autoSpaceDN w:val="0"/>
        <w:adjustRightInd w:val="0"/>
        <w:ind w:left="360"/>
        <w:rPr>
          <w:sz w:val="22"/>
          <w:szCs w:val="22"/>
        </w:rPr>
      </w:pPr>
      <w:r w:rsidRPr="00890622">
        <w:rPr>
          <w:sz w:val="22"/>
          <w:szCs w:val="22"/>
        </w:rPr>
        <w:t xml:space="preserve">In many countries, market participants use the country’s swap curve as the benchmark interest rates rather than the country’s government bond yield curve. </w:t>
      </w:r>
    </w:p>
    <w:p w:rsidR="003C78B0" w:rsidRPr="00890622" w:rsidRDefault="003C78B0" w:rsidP="003C78B0">
      <w:pPr>
        <w:autoSpaceDE w:val="0"/>
        <w:autoSpaceDN w:val="0"/>
        <w:adjustRightInd w:val="0"/>
        <w:ind w:left="360"/>
        <w:rPr>
          <w:sz w:val="22"/>
          <w:szCs w:val="22"/>
        </w:rPr>
      </w:pPr>
    </w:p>
    <w:p w:rsidR="003C78B0" w:rsidRPr="00890622" w:rsidRDefault="003C78B0" w:rsidP="003C78B0">
      <w:pPr>
        <w:autoSpaceDE w:val="0"/>
        <w:autoSpaceDN w:val="0"/>
        <w:adjustRightInd w:val="0"/>
        <w:ind w:left="360"/>
        <w:rPr>
          <w:sz w:val="22"/>
          <w:szCs w:val="22"/>
        </w:rPr>
      </w:pPr>
      <w:r w:rsidRPr="00890622">
        <w:rPr>
          <w:sz w:val="22"/>
          <w:szCs w:val="22"/>
        </w:rPr>
        <w:t>There may be political, legal or technical reasons why the rate paid on a government’s bonds may not be representative of true market-forces interest rates</w:t>
      </w:r>
      <w:r w:rsidR="00EC1369" w:rsidRPr="00890622">
        <w:rPr>
          <w:sz w:val="22"/>
          <w:szCs w:val="22"/>
        </w:rPr>
        <w:t xml:space="preserve">.  Second, a government needs to have many debt issues to create a useful curve. In </w:t>
      </w:r>
      <w:r w:rsidR="00106634" w:rsidRPr="00890622">
        <w:rPr>
          <w:sz w:val="22"/>
          <w:szCs w:val="22"/>
        </w:rPr>
        <w:t xml:space="preserve">recent years the liquidity </w:t>
      </w:r>
      <w:r w:rsidR="00EC1369" w:rsidRPr="00890622">
        <w:rPr>
          <w:sz w:val="22"/>
          <w:szCs w:val="22"/>
        </w:rPr>
        <w:t xml:space="preserve">(market activity) </w:t>
      </w:r>
      <w:r w:rsidR="00106634" w:rsidRPr="00890622">
        <w:rPr>
          <w:sz w:val="22"/>
          <w:szCs w:val="22"/>
        </w:rPr>
        <w:t xml:space="preserve">of the interest rate </w:t>
      </w:r>
      <w:r w:rsidR="00EC1369" w:rsidRPr="00890622">
        <w:rPr>
          <w:sz w:val="22"/>
          <w:szCs w:val="22"/>
        </w:rPr>
        <w:t>s</w:t>
      </w:r>
      <w:r w:rsidR="00106634" w:rsidRPr="00890622">
        <w:rPr>
          <w:sz w:val="22"/>
          <w:szCs w:val="22"/>
        </w:rPr>
        <w:t>wap</w:t>
      </w:r>
      <w:r w:rsidR="00EC1369" w:rsidRPr="00890622">
        <w:rPr>
          <w:sz w:val="22"/>
          <w:szCs w:val="22"/>
        </w:rPr>
        <w:t>s</w:t>
      </w:r>
      <w:r w:rsidR="00106634" w:rsidRPr="00890622">
        <w:rPr>
          <w:sz w:val="22"/>
          <w:szCs w:val="22"/>
        </w:rPr>
        <w:t xml:space="preserve"> </w:t>
      </w:r>
      <w:r w:rsidR="00EC1369" w:rsidRPr="00890622">
        <w:rPr>
          <w:sz w:val="22"/>
          <w:szCs w:val="22"/>
        </w:rPr>
        <w:t xml:space="preserve">in many currencies </w:t>
      </w:r>
      <w:r w:rsidR="00106634" w:rsidRPr="00890622">
        <w:rPr>
          <w:sz w:val="22"/>
          <w:szCs w:val="22"/>
        </w:rPr>
        <w:t xml:space="preserve">has increased to the point where </w:t>
      </w:r>
      <w:r w:rsidRPr="00890622">
        <w:rPr>
          <w:sz w:val="22"/>
          <w:szCs w:val="22"/>
        </w:rPr>
        <w:t xml:space="preserve">swaps are </w:t>
      </w:r>
      <w:r w:rsidR="00EC1369" w:rsidRPr="00890622">
        <w:rPr>
          <w:sz w:val="22"/>
          <w:szCs w:val="22"/>
        </w:rPr>
        <w:t xml:space="preserve">often </w:t>
      </w:r>
      <w:r w:rsidRPr="00890622">
        <w:rPr>
          <w:sz w:val="22"/>
          <w:szCs w:val="22"/>
        </w:rPr>
        <w:t xml:space="preserve">a </w:t>
      </w:r>
      <w:r w:rsidR="00EC1369" w:rsidRPr="00890622">
        <w:rPr>
          <w:sz w:val="22"/>
          <w:szCs w:val="22"/>
        </w:rPr>
        <w:t xml:space="preserve">much </w:t>
      </w:r>
      <w:r w:rsidRPr="00890622">
        <w:rPr>
          <w:sz w:val="22"/>
          <w:szCs w:val="22"/>
        </w:rPr>
        <w:t>more liquid</w:t>
      </w:r>
      <w:r w:rsidR="00EC1369" w:rsidRPr="00890622">
        <w:rPr>
          <w:sz w:val="22"/>
          <w:szCs w:val="22"/>
        </w:rPr>
        <w:t xml:space="preserve"> and more market-determined interest rate market with fewer maturity gaps </w:t>
      </w:r>
      <w:r w:rsidR="00106634" w:rsidRPr="00890622">
        <w:rPr>
          <w:sz w:val="22"/>
          <w:szCs w:val="22"/>
        </w:rPr>
        <w:t xml:space="preserve">than the market for government bonds. </w:t>
      </w:r>
    </w:p>
    <w:p w:rsidR="00EC1369" w:rsidRPr="00890622" w:rsidRDefault="00EC1369" w:rsidP="003C78B0">
      <w:pPr>
        <w:autoSpaceDE w:val="0"/>
        <w:autoSpaceDN w:val="0"/>
        <w:adjustRightInd w:val="0"/>
        <w:ind w:left="360"/>
        <w:rPr>
          <w:sz w:val="22"/>
          <w:szCs w:val="22"/>
        </w:rPr>
      </w:pPr>
    </w:p>
    <w:p w:rsidR="00EC1369" w:rsidRPr="00890622" w:rsidRDefault="00EC1369" w:rsidP="003C78B0">
      <w:pPr>
        <w:autoSpaceDE w:val="0"/>
        <w:autoSpaceDN w:val="0"/>
        <w:adjustRightInd w:val="0"/>
        <w:ind w:left="360"/>
        <w:rPr>
          <w:sz w:val="22"/>
          <w:szCs w:val="22"/>
        </w:rPr>
      </w:pPr>
      <w:r w:rsidRPr="00890622">
        <w:rPr>
          <w:sz w:val="22"/>
          <w:szCs w:val="22"/>
        </w:rPr>
        <w:t>The increase in liquidity and the lack of maturity gaps has led to the rise in the popularity of the swap curve in the US market.</w:t>
      </w:r>
    </w:p>
    <w:p w:rsidR="00EC1369" w:rsidRPr="00890622" w:rsidRDefault="00EC1369" w:rsidP="00EC1369">
      <w:pPr>
        <w:autoSpaceDE w:val="0"/>
        <w:autoSpaceDN w:val="0"/>
        <w:adjustRightInd w:val="0"/>
        <w:rPr>
          <w:b/>
          <w:sz w:val="22"/>
          <w:szCs w:val="22"/>
        </w:rPr>
      </w:pPr>
    </w:p>
    <w:p w:rsidR="00106634" w:rsidRPr="00890622" w:rsidRDefault="00106634" w:rsidP="00106634">
      <w:pPr>
        <w:pStyle w:val="ListParagraph"/>
        <w:numPr>
          <w:ilvl w:val="0"/>
          <w:numId w:val="13"/>
        </w:numPr>
        <w:autoSpaceDE w:val="0"/>
        <w:autoSpaceDN w:val="0"/>
        <w:adjustRightInd w:val="0"/>
        <w:rPr>
          <w:b/>
          <w:sz w:val="22"/>
          <w:szCs w:val="22"/>
        </w:rPr>
      </w:pPr>
      <w:r w:rsidRPr="00890622">
        <w:rPr>
          <w:b/>
          <w:sz w:val="22"/>
          <w:szCs w:val="22"/>
        </w:rPr>
        <w:t>A client observes that a corporate bond that he is interested in purchasing with a triple A rating has a benchmark spread that is positive when the benchmark is U.S. Treasuries but negative when the benchmark is the LIBOR curve. The client asks you why. Provide an explanation.</w:t>
      </w:r>
    </w:p>
    <w:p w:rsidR="004F37B4" w:rsidRDefault="004F37B4" w:rsidP="00EC1369">
      <w:pPr>
        <w:autoSpaceDE w:val="0"/>
        <w:autoSpaceDN w:val="0"/>
        <w:adjustRightInd w:val="0"/>
        <w:ind w:left="360"/>
        <w:rPr>
          <w:sz w:val="22"/>
          <w:szCs w:val="22"/>
        </w:rPr>
      </w:pPr>
    </w:p>
    <w:p w:rsidR="009F229C" w:rsidRPr="00890622" w:rsidRDefault="00106634" w:rsidP="00EC1369">
      <w:pPr>
        <w:autoSpaceDE w:val="0"/>
        <w:autoSpaceDN w:val="0"/>
        <w:adjustRightInd w:val="0"/>
        <w:ind w:left="360"/>
        <w:rPr>
          <w:sz w:val="22"/>
          <w:szCs w:val="22"/>
        </w:rPr>
      </w:pPr>
      <w:r w:rsidRPr="00890622">
        <w:rPr>
          <w:sz w:val="22"/>
          <w:szCs w:val="22"/>
        </w:rPr>
        <w:t xml:space="preserve">The </w:t>
      </w:r>
      <w:r w:rsidR="009F229C" w:rsidRPr="00890622">
        <w:rPr>
          <w:sz w:val="22"/>
          <w:szCs w:val="22"/>
        </w:rPr>
        <w:t xml:space="preserve">rates on the </w:t>
      </w:r>
      <w:r w:rsidRPr="00890622">
        <w:rPr>
          <w:sz w:val="22"/>
          <w:szCs w:val="22"/>
        </w:rPr>
        <w:t xml:space="preserve">LIBOR </w:t>
      </w:r>
      <w:r w:rsidR="009F229C" w:rsidRPr="00890622">
        <w:rPr>
          <w:sz w:val="22"/>
          <w:szCs w:val="22"/>
        </w:rPr>
        <w:t xml:space="preserve">curve (aka the </w:t>
      </w:r>
      <w:r w:rsidRPr="00890622">
        <w:rPr>
          <w:sz w:val="22"/>
          <w:szCs w:val="22"/>
        </w:rPr>
        <w:t>swap curve</w:t>
      </w:r>
      <w:r w:rsidR="009F229C" w:rsidRPr="00890622">
        <w:rPr>
          <w:sz w:val="22"/>
          <w:szCs w:val="22"/>
        </w:rPr>
        <w:t>)</w:t>
      </w:r>
      <w:r w:rsidRPr="00890622">
        <w:rPr>
          <w:sz w:val="22"/>
          <w:szCs w:val="22"/>
        </w:rPr>
        <w:t xml:space="preserve"> reflects more </w:t>
      </w:r>
      <w:r w:rsidR="009F229C" w:rsidRPr="00890622">
        <w:rPr>
          <w:sz w:val="22"/>
          <w:szCs w:val="22"/>
        </w:rPr>
        <w:t xml:space="preserve">default </w:t>
      </w:r>
      <w:r w:rsidRPr="00890622">
        <w:rPr>
          <w:sz w:val="22"/>
          <w:szCs w:val="22"/>
        </w:rPr>
        <w:t xml:space="preserve">risk than the U.S. Treasuries benchmark curve which is a default-free yield curve. </w:t>
      </w:r>
      <w:r w:rsidR="009F229C" w:rsidRPr="00890622">
        <w:rPr>
          <w:sz w:val="22"/>
          <w:szCs w:val="22"/>
        </w:rPr>
        <w:t>T</w:t>
      </w:r>
      <w:r w:rsidRPr="00890622">
        <w:rPr>
          <w:sz w:val="22"/>
          <w:szCs w:val="22"/>
        </w:rPr>
        <w:t xml:space="preserve">he LIBOR curve reflects </w:t>
      </w:r>
      <w:r w:rsidR="009F229C" w:rsidRPr="00890622">
        <w:rPr>
          <w:sz w:val="22"/>
          <w:szCs w:val="22"/>
        </w:rPr>
        <w:t xml:space="preserve">the </w:t>
      </w:r>
      <w:r w:rsidRPr="00890622">
        <w:rPr>
          <w:sz w:val="22"/>
          <w:szCs w:val="22"/>
        </w:rPr>
        <w:t>credit risk</w:t>
      </w:r>
      <w:r w:rsidR="009F229C" w:rsidRPr="00890622">
        <w:rPr>
          <w:sz w:val="22"/>
          <w:szCs w:val="22"/>
        </w:rPr>
        <w:t xml:space="preserve"> of the banks </w:t>
      </w:r>
      <w:r w:rsidR="009F229C" w:rsidRPr="00890622">
        <w:rPr>
          <w:sz w:val="22"/>
          <w:szCs w:val="22"/>
        </w:rPr>
        <w:lastRenderedPageBreak/>
        <w:t>acting as swap dealers.</w:t>
      </w:r>
      <w:r w:rsidRPr="00890622">
        <w:rPr>
          <w:sz w:val="22"/>
          <w:szCs w:val="22"/>
        </w:rPr>
        <w:t xml:space="preserve"> </w:t>
      </w:r>
      <w:r w:rsidR="009F229C" w:rsidRPr="00890622">
        <w:rPr>
          <w:sz w:val="22"/>
          <w:szCs w:val="22"/>
        </w:rPr>
        <w:t xml:space="preserve">It is possible that the </w:t>
      </w:r>
      <w:r w:rsidRPr="00890622">
        <w:rPr>
          <w:sz w:val="22"/>
          <w:szCs w:val="22"/>
        </w:rPr>
        <w:t xml:space="preserve">credit risk </w:t>
      </w:r>
      <w:r w:rsidR="009F229C" w:rsidRPr="00890622">
        <w:rPr>
          <w:sz w:val="22"/>
          <w:szCs w:val="22"/>
        </w:rPr>
        <w:t>of banks can exceed the credit risk of AAA-rated corporations. Note that this happened is the summer and fall of 2007.</w:t>
      </w:r>
    </w:p>
    <w:p w:rsidR="000C18A4" w:rsidRPr="00890622" w:rsidRDefault="000C18A4" w:rsidP="000C18A4">
      <w:pPr>
        <w:autoSpaceDE w:val="0"/>
        <w:autoSpaceDN w:val="0"/>
        <w:adjustRightInd w:val="0"/>
        <w:rPr>
          <w:b/>
          <w:sz w:val="22"/>
          <w:szCs w:val="22"/>
        </w:rPr>
      </w:pPr>
      <w:r w:rsidRPr="00890622">
        <w:rPr>
          <w:b/>
          <w:sz w:val="22"/>
          <w:szCs w:val="22"/>
        </w:rPr>
        <w:t>Extra Questions:</w:t>
      </w:r>
    </w:p>
    <w:p w:rsidR="000C18A4" w:rsidRPr="00890622" w:rsidRDefault="000C18A4" w:rsidP="000C18A4">
      <w:pPr>
        <w:autoSpaceDE w:val="0"/>
        <w:autoSpaceDN w:val="0"/>
        <w:adjustRightInd w:val="0"/>
        <w:rPr>
          <w:b/>
          <w:sz w:val="22"/>
          <w:szCs w:val="22"/>
        </w:rPr>
      </w:pPr>
    </w:p>
    <w:p w:rsidR="000C18A4" w:rsidRPr="00890622" w:rsidRDefault="0091086F" w:rsidP="000C18A4">
      <w:pPr>
        <w:pStyle w:val="ListParagraph"/>
        <w:numPr>
          <w:ilvl w:val="0"/>
          <w:numId w:val="15"/>
        </w:numPr>
        <w:autoSpaceDE w:val="0"/>
        <w:autoSpaceDN w:val="0"/>
        <w:adjustRightInd w:val="0"/>
        <w:rPr>
          <w:b/>
          <w:sz w:val="22"/>
          <w:szCs w:val="22"/>
        </w:rPr>
      </w:pPr>
      <w:r w:rsidRPr="00890622">
        <w:rPr>
          <w:b/>
          <w:sz w:val="22"/>
          <w:szCs w:val="22"/>
        </w:rPr>
        <w:t xml:space="preserve">Describe the </w:t>
      </w:r>
      <w:r w:rsidR="00557BB2" w:rsidRPr="00890622">
        <w:rPr>
          <w:b/>
          <w:sz w:val="22"/>
          <w:szCs w:val="22"/>
        </w:rPr>
        <w:t xml:space="preserve">term structure (aka </w:t>
      </w:r>
      <w:r w:rsidRPr="00890622">
        <w:rPr>
          <w:b/>
          <w:sz w:val="22"/>
          <w:szCs w:val="22"/>
        </w:rPr>
        <w:t>yield curve</w:t>
      </w:r>
      <w:r w:rsidR="00557BB2" w:rsidRPr="00890622">
        <w:rPr>
          <w:b/>
          <w:sz w:val="22"/>
          <w:szCs w:val="22"/>
        </w:rPr>
        <w:t>)</w:t>
      </w:r>
      <w:r w:rsidRPr="00890622">
        <w:rPr>
          <w:b/>
          <w:sz w:val="22"/>
          <w:szCs w:val="22"/>
        </w:rPr>
        <w:t xml:space="preserve"> theories.</w:t>
      </w:r>
    </w:p>
    <w:p w:rsidR="00800860" w:rsidRPr="00890622" w:rsidRDefault="00800860" w:rsidP="00800860">
      <w:pPr>
        <w:ind w:left="360"/>
        <w:rPr>
          <w:sz w:val="22"/>
          <w:szCs w:val="22"/>
        </w:rPr>
      </w:pPr>
      <w:r w:rsidRPr="00890622">
        <w:rPr>
          <w:sz w:val="22"/>
          <w:szCs w:val="22"/>
        </w:rPr>
        <w:t xml:space="preserve">The point behind term structure theories (also known as yield curve theories) is to think about what market forces determine the price and yield of current bonds. </w:t>
      </w:r>
      <w:r w:rsidR="00BF1A9E">
        <w:rPr>
          <w:sz w:val="22"/>
          <w:szCs w:val="22"/>
        </w:rPr>
        <w:t xml:space="preserve">From the YTM’s </w:t>
      </w:r>
      <w:r w:rsidRPr="00890622">
        <w:rPr>
          <w:sz w:val="22"/>
          <w:szCs w:val="22"/>
        </w:rPr>
        <w:t xml:space="preserve">on current </w:t>
      </w:r>
      <w:r w:rsidR="00BF1A9E">
        <w:rPr>
          <w:sz w:val="22"/>
          <w:szCs w:val="22"/>
        </w:rPr>
        <w:t xml:space="preserve">we can bootstrap theoretical </w:t>
      </w:r>
      <w:r w:rsidRPr="00890622">
        <w:rPr>
          <w:sz w:val="22"/>
          <w:szCs w:val="22"/>
        </w:rPr>
        <w:t>zero-coupon (“spot zero”) rate</w:t>
      </w:r>
      <w:r w:rsidR="00BF1A9E">
        <w:rPr>
          <w:sz w:val="22"/>
          <w:szCs w:val="22"/>
        </w:rPr>
        <w:t xml:space="preserve">s. The theoretical </w:t>
      </w:r>
      <w:r w:rsidRPr="00890622">
        <w:rPr>
          <w:sz w:val="22"/>
          <w:szCs w:val="22"/>
        </w:rPr>
        <w:t xml:space="preserve">spot zero rates give us </w:t>
      </w:r>
      <w:r w:rsidR="00BF1A9E">
        <w:rPr>
          <w:sz w:val="22"/>
          <w:szCs w:val="22"/>
        </w:rPr>
        <w:t xml:space="preserve">implied </w:t>
      </w:r>
      <w:r w:rsidRPr="00890622">
        <w:rPr>
          <w:sz w:val="22"/>
          <w:szCs w:val="22"/>
        </w:rPr>
        <w:t xml:space="preserve">forward rates </w:t>
      </w:r>
      <w:r w:rsidR="00BF1A9E">
        <w:rPr>
          <w:sz w:val="22"/>
          <w:szCs w:val="22"/>
        </w:rPr>
        <w:t xml:space="preserve">– rate </w:t>
      </w:r>
      <w:r w:rsidRPr="00890622">
        <w:rPr>
          <w:sz w:val="22"/>
          <w:szCs w:val="22"/>
        </w:rPr>
        <w:t>that can be locked</w:t>
      </w:r>
      <w:r w:rsidR="00BF1A9E">
        <w:rPr>
          <w:sz w:val="22"/>
          <w:szCs w:val="22"/>
        </w:rPr>
        <w:t xml:space="preserve"> in today</w:t>
      </w:r>
      <w:r w:rsidRPr="00890622">
        <w:rPr>
          <w:sz w:val="22"/>
          <w:szCs w:val="22"/>
        </w:rPr>
        <w:t xml:space="preserve">.  Market participants can profit if realized rates in the future differ from the forward rates. </w:t>
      </w:r>
    </w:p>
    <w:p w:rsidR="00800860" w:rsidRPr="00890622" w:rsidRDefault="00800860" w:rsidP="00800860">
      <w:pPr>
        <w:ind w:left="360"/>
        <w:rPr>
          <w:sz w:val="22"/>
          <w:szCs w:val="22"/>
        </w:rPr>
      </w:pPr>
    </w:p>
    <w:p w:rsidR="00800860" w:rsidRPr="00890622" w:rsidRDefault="00800860" w:rsidP="00800860">
      <w:pPr>
        <w:ind w:left="360"/>
        <w:rPr>
          <w:sz w:val="22"/>
          <w:szCs w:val="22"/>
        </w:rPr>
      </w:pPr>
      <w:r w:rsidRPr="00890622">
        <w:rPr>
          <w:sz w:val="22"/>
          <w:szCs w:val="22"/>
        </w:rPr>
        <w:t xml:space="preserve">So the question is this: </w:t>
      </w:r>
    </w:p>
    <w:p w:rsidR="00800860" w:rsidRPr="00890622" w:rsidRDefault="00800860" w:rsidP="00800860">
      <w:pPr>
        <w:ind w:left="360"/>
        <w:rPr>
          <w:sz w:val="22"/>
          <w:szCs w:val="22"/>
        </w:rPr>
      </w:pPr>
      <w:r w:rsidRPr="00890622">
        <w:rPr>
          <w:sz w:val="22"/>
          <w:szCs w:val="22"/>
        </w:rPr>
        <w:t xml:space="preserve">Since the price and yield of current bonds gives spot zero rates and spot zero rates gives forward rates, how much are market participants thinking about what rates will be in the future when they price current bonds? </w:t>
      </w:r>
    </w:p>
    <w:p w:rsidR="00800860" w:rsidRPr="00890622" w:rsidRDefault="00800860" w:rsidP="00800860">
      <w:pPr>
        <w:ind w:left="360"/>
        <w:rPr>
          <w:sz w:val="22"/>
          <w:szCs w:val="22"/>
        </w:rPr>
      </w:pPr>
    </w:p>
    <w:p w:rsidR="00800860" w:rsidRPr="00890622" w:rsidRDefault="00800860" w:rsidP="00800860">
      <w:pPr>
        <w:ind w:left="360"/>
        <w:rPr>
          <w:sz w:val="22"/>
          <w:szCs w:val="22"/>
        </w:rPr>
      </w:pPr>
      <w:r w:rsidRPr="00890622">
        <w:rPr>
          <w:sz w:val="22"/>
          <w:szCs w:val="22"/>
        </w:rPr>
        <w:t xml:space="preserve">Another way to say it is this: </w:t>
      </w:r>
    </w:p>
    <w:p w:rsidR="00800860" w:rsidRPr="00890622" w:rsidRDefault="00800860" w:rsidP="00800860">
      <w:pPr>
        <w:ind w:left="360"/>
        <w:rPr>
          <w:sz w:val="22"/>
          <w:szCs w:val="22"/>
        </w:rPr>
      </w:pPr>
      <w:r w:rsidRPr="00890622">
        <w:rPr>
          <w:sz w:val="22"/>
          <w:szCs w:val="22"/>
        </w:rPr>
        <w:t>Are current bond prices and yields related to expected rates in the future?</w:t>
      </w:r>
    </w:p>
    <w:p w:rsidR="00800860" w:rsidRPr="00890622" w:rsidRDefault="00800860" w:rsidP="00800860">
      <w:pPr>
        <w:ind w:left="360"/>
        <w:rPr>
          <w:sz w:val="22"/>
          <w:szCs w:val="22"/>
        </w:rPr>
      </w:pPr>
    </w:p>
    <w:p w:rsidR="00800860" w:rsidRPr="00890622" w:rsidRDefault="00800860" w:rsidP="00800860">
      <w:pPr>
        <w:pStyle w:val="ListParagraph"/>
        <w:numPr>
          <w:ilvl w:val="0"/>
          <w:numId w:val="16"/>
        </w:numPr>
        <w:ind w:left="720"/>
        <w:rPr>
          <w:b/>
          <w:sz w:val="22"/>
          <w:szCs w:val="22"/>
        </w:rPr>
      </w:pPr>
      <w:r w:rsidRPr="00890622">
        <w:rPr>
          <w:b/>
          <w:sz w:val="22"/>
          <w:szCs w:val="22"/>
        </w:rPr>
        <w:t>Expectations Theory</w:t>
      </w:r>
    </w:p>
    <w:p w:rsidR="00800860" w:rsidRPr="00890622" w:rsidRDefault="00800860" w:rsidP="00800860">
      <w:pPr>
        <w:ind w:left="720"/>
        <w:rPr>
          <w:sz w:val="22"/>
          <w:szCs w:val="22"/>
        </w:rPr>
      </w:pPr>
      <w:r w:rsidRPr="00890622">
        <w:rPr>
          <w:sz w:val="22"/>
          <w:szCs w:val="22"/>
        </w:rPr>
        <w:t xml:space="preserve">The forward rates implied by the current prices and yields of bonds are closely related to the market’s expectations about rates in the future. </w:t>
      </w:r>
    </w:p>
    <w:p w:rsidR="00800860" w:rsidRPr="00890622" w:rsidRDefault="00800860" w:rsidP="00800860">
      <w:pPr>
        <w:ind w:left="360"/>
        <w:rPr>
          <w:sz w:val="22"/>
          <w:szCs w:val="22"/>
        </w:rPr>
      </w:pPr>
    </w:p>
    <w:p w:rsidR="00800860" w:rsidRPr="00890622" w:rsidRDefault="00800860" w:rsidP="00800860">
      <w:pPr>
        <w:pStyle w:val="ListParagraph"/>
        <w:numPr>
          <w:ilvl w:val="0"/>
          <w:numId w:val="17"/>
        </w:numPr>
        <w:ind w:left="1080"/>
        <w:rPr>
          <w:sz w:val="22"/>
          <w:szCs w:val="22"/>
        </w:rPr>
      </w:pPr>
      <w:r w:rsidRPr="00890622">
        <w:rPr>
          <w:b/>
          <w:sz w:val="22"/>
          <w:szCs w:val="22"/>
        </w:rPr>
        <w:t>Pure Expectations Theory:</w:t>
      </w:r>
      <w:r w:rsidRPr="00890622">
        <w:rPr>
          <w:sz w:val="22"/>
          <w:szCs w:val="22"/>
        </w:rPr>
        <w:t xml:space="preserve">  </w:t>
      </w:r>
    </w:p>
    <w:p w:rsidR="00800860" w:rsidRPr="00890622" w:rsidRDefault="00800860" w:rsidP="00800860">
      <w:pPr>
        <w:pStyle w:val="ListParagraph"/>
        <w:ind w:left="1080"/>
        <w:rPr>
          <w:sz w:val="22"/>
          <w:szCs w:val="22"/>
        </w:rPr>
      </w:pPr>
      <w:r w:rsidRPr="00890622">
        <w:rPr>
          <w:sz w:val="22"/>
          <w:szCs w:val="22"/>
        </w:rPr>
        <w:t>Current prices and yields (and therefore implied spot rates and implied forward rates) exclusively represent the expected future rates. There are no “biases” (other factors) in the yields of current bonds.</w:t>
      </w:r>
    </w:p>
    <w:p w:rsidR="00800860" w:rsidRPr="00890622" w:rsidRDefault="00800860" w:rsidP="00800860">
      <w:pPr>
        <w:ind w:left="360"/>
        <w:rPr>
          <w:sz w:val="22"/>
          <w:szCs w:val="22"/>
        </w:rPr>
      </w:pPr>
    </w:p>
    <w:p w:rsidR="00800860" w:rsidRPr="00890622" w:rsidRDefault="00800860" w:rsidP="00800860">
      <w:pPr>
        <w:pStyle w:val="ListParagraph"/>
        <w:numPr>
          <w:ilvl w:val="0"/>
          <w:numId w:val="17"/>
        </w:numPr>
        <w:ind w:left="1080"/>
        <w:rPr>
          <w:sz w:val="22"/>
          <w:szCs w:val="22"/>
        </w:rPr>
      </w:pPr>
      <w:r w:rsidRPr="00890622">
        <w:rPr>
          <w:b/>
          <w:sz w:val="22"/>
          <w:szCs w:val="22"/>
        </w:rPr>
        <w:t>Biased Expectations Theory:</w:t>
      </w:r>
    </w:p>
    <w:p w:rsidR="00800860" w:rsidRPr="00890622" w:rsidRDefault="00800860" w:rsidP="00800860">
      <w:pPr>
        <w:pStyle w:val="ListParagraph"/>
        <w:numPr>
          <w:ilvl w:val="0"/>
          <w:numId w:val="18"/>
        </w:numPr>
        <w:ind w:left="1800"/>
        <w:rPr>
          <w:sz w:val="22"/>
          <w:szCs w:val="22"/>
        </w:rPr>
      </w:pPr>
      <w:r w:rsidRPr="00890622">
        <w:rPr>
          <w:b/>
          <w:sz w:val="22"/>
          <w:szCs w:val="22"/>
        </w:rPr>
        <w:t xml:space="preserve">Liquidity Theory: </w:t>
      </w:r>
    </w:p>
    <w:p w:rsidR="00800860" w:rsidRPr="00890622" w:rsidRDefault="00800860" w:rsidP="00800860">
      <w:pPr>
        <w:pStyle w:val="ListParagraph"/>
        <w:ind w:left="1800"/>
        <w:rPr>
          <w:sz w:val="22"/>
          <w:szCs w:val="22"/>
        </w:rPr>
      </w:pPr>
      <w:r w:rsidRPr="00890622">
        <w:rPr>
          <w:sz w:val="22"/>
          <w:szCs w:val="22"/>
        </w:rPr>
        <w:t xml:space="preserve">Implied forward rates are not an </w:t>
      </w:r>
      <w:r w:rsidRPr="00890622">
        <w:rPr>
          <w:i/>
          <w:sz w:val="22"/>
          <w:szCs w:val="22"/>
        </w:rPr>
        <w:t>unbiased</w:t>
      </w:r>
      <w:r w:rsidRPr="00890622">
        <w:rPr>
          <w:sz w:val="22"/>
          <w:szCs w:val="22"/>
        </w:rPr>
        <w:t xml:space="preserve"> estimate of the market’s expectations of future interest rates because some of the yields on current bonds include a liquidity premium. So current yields reflect expectations </w:t>
      </w:r>
      <w:r w:rsidRPr="00890622">
        <w:rPr>
          <w:i/>
          <w:sz w:val="22"/>
          <w:szCs w:val="22"/>
        </w:rPr>
        <w:t>plus</w:t>
      </w:r>
      <w:r w:rsidRPr="00890622">
        <w:rPr>
          <w:sz w:val="22"/>
          <w:szCs w:val="22"/>
        </w:rPr>
        <w:t xml:space="preserve"> a liquidity premium of varying size. </w:t>
      </w:r>
    </w:p>
    <w:p w:rsidR="00800860" w:rsidRPr="00890622" w:rsidRDefault="00800860" w:rsidP="00800860">
      <w:pPr>
        <w:pStyle w:val="ListParagraph"/>
        <w:ind w:left="1800"/>
        <w:rPr>
          <w:sz w:val="22"/>
          <w:szCs w:val="22"/>
        </w:rPr>
      </w:pPr>
    </w:p>
    <w:p w:rsidR="00800860" w:rsidRPr="00890622" w:rsidRDefault="00800860" w:rsidP="00800860">
      <w:pPr>
        <w:pStyle w:val="ListParagraph"/>
        <w:numPr>
          <w:ilvl w:val="0"/>
          <w:numId w:val="18"/>
        </w:numPr>
        <w:ind w:left="1800"/>
        <w:rPr>
          <w:sz w:val="22"/>
          <w:szCs w:val="22"/>
        </w:rPr>
      </w:pPr>
      <w:r w:rsidRPr="00890622">
        <w:rPr>
          <w:b/>
          <w:sz w:val="22"/>
          <w:szCs w:val="22"/>
        </w:rPr>
        <w:t xml:space="preserve">Preferred Habitat Theory: </w:t>
      </w:r>
    </w:p>
    <w:p w:rsidR="00800860" w:rsidRPr="00890622" w:rsidRDefault="00800860" w:rsidP="00800860">
      <w:pPr>
        <w:pStyle w:val="ListParagraph"/>
        <w:ind w:left="1800"/>
        <w:rPr>
          <w:sz w:val="22"/>
          <w:szCs w:val="22"/>
        </w:rPr>
      </w:pPr>
      <w:r w:rsidRPr="00890622">
        <w:rPr>
          <w:sz w:val="22"/>
          <w:szCs w:val="22"/>
        </w:rPr>
        <w:t xml:space="preserve">Implied forward rates are not an </w:t>
      </w:r>
      <w:r w:rsidRPr="00890622">
        <w:rPr>
          <w:i/>
          <w:sz w:val="22"/>
          <w:szCs w:val="22"/>
        </w:rPr>
        <w:t>unbiased</w:t>
      </w:r>
      <w:r w:rsidRPr="00890622">
        <w:rPr>
          <w:sz w:val="22"/>
          <w:szCs w:val="22"/>
        </w:rPr>
        <w:t xml:space="preserve"> estimate of the market’s expectations of future interest rates because prices of current bonds (and therefore the yields) are affected by variations of supply and demand for specific maturities. </w:t>
      </w:r>
    </w:p>
    <w:p w:rsidR="00800860" w:rsidRPr="00890622" w:rsidRDefault="00800860" w:rsidP="00800860">
      <w:pPr>
        <w:pStyle w:val="ListParagraph"/>
        <w:ind w:left="1800"/>
        <w:rPr>
          <w:sz w:val="22"/>
          <w:szCs w:val="22"/>
        </w:rPr>
      </w:pPr>
    </w:p>
    <w:p w:rsidR="00800860" w:rsidRPr="00890622" w:rsidRDefault="00800860" w:rsidP="00800860">
      <w:pPr>
        <w:pStyle w:val="ListParagraph"/>
        <w:ind w:left="1800"/>
        <w:rPr>
          <w:sz w:val="22"/>
          <w:szCs w:val="22"/>
        </w:rPr>
      </w:pPr>
      <w:r w:rsidRPr="00890622">
        <w:rPr>
          <w:sz w:val="22"/>
          <w:szCs w:val="22"/>
        </w:rPr>
        <w:t xml:space="preserve">For example, market participants may buy ten-year bonds and not buy seven-year bonds because of the timing of associated liabilities. Therefore the price of ten-year bonds will be </w:t>
      </w:r>
      <w:r w:rsidRPr="00890622">
        <w:rPr>
          <w:i/>
          <w:sz w:val="22"/>
          <w:szCs w:val="22"/>
        </w:rPr>
        <w:t>relatively</w:t>
      </w:r>
      <w:r w:rsidRPr="00890622">
        <w:rPr>
          <w:sz w:val="22"/>
          <w:szCs w:val="22"/>
        </w:rPr>
        <w:t xml:space="preserve"> higher (and therefore the yield lower) than seven-year bonds.  This preference for ten year bonds over seven year bonds is referred to as the “preferred habitat.”</w:t>
      </w:r>
    </w:p>
    <w:p w:rsidR="00800860" w:rsidRPr="00890622" w:rsidRDefault="00800860" w:rsidP="00800860">
      <w:pPr>
        <w:pStyle w:val="ListParagraph"/>
        <w:ind w:left="1800"/>
        <w:rPr>
          <w:sz w:val="22"/>
          <w:szCs w:val="22"/>
        </w:rPr>
      </w:pPr>
    </w:p>
    <w:p w:rsidR="00800860" w:rsidRPr="00890622" w:rsidRDefault="00800860" w:rsidP="00800860">
      <w:pPr>
        <w:pStyle w:val="ListParagraph"/>
        <w:ind w:left="1800"/>
        <w:rPr>
          <w:sz w:val="22"/>
          <w:szCs w:val="22"/>
        </w:rPr>
      </w:pPr>
      <w:r w:rsidRPr="00890622">
        <w:rPr>
          <w:sz w:val="22"/>
          <w:szCs w:val="22"/>
        </w:rPr>
        <w:t>Therefore the term structure reflects the expectation of future interest rates plus a premium or discount reflecting the demand and supply for bonds of a given maturity range (or habitat).</w:t>
      </w:r>
    </w:p>
    <w:p w:rsidR="00800860" w:rsidRDefault="00800860" w:rsidP="00800860">
      <w:pPr>
        <w:ind w:left="360"/>
        <w:rPr>
          <w:sz w:val="22"/>
          <w:szCs w:val="22"/>
        </w:rPr>
      </w:pPr>
    </w:p>
    <w:p w:rsidR="002B3AB7" w:rsidRPr="00890622" w:rsidRDefault="002B3AB7" w:rsidP="00800860">
      <w:pPr>
        <w:ind w:left="360"/>
        <w:rPr>
          <w:sz w:val="22"/>
          <w:szCs w:val="22"/>
        </w:rPr>
      </w:pPr>
    </w:p>
    <w:p w:rsidR="00800860" w:rsidRPr="00890622" w:rsidRDefault="00800860" w:rsidP="00800860">
      <w:pPr>
        <w:pStyle w:val="ListParagraph"/>
        <w:numPr>
          <w:ilvl w:val="0"/>
          <w:numId w:val="16"/>
        </w:numPr>
        <w:ind w:left="720"/>
        <w:rPr>
          <w:b/>
          <w:sz w:val="22"/>
          <w:szCs w:val="22"/>
        </w:rPr>
      </w:pPr>
      <w:r w:rsidRPr="00890622">
        <w:rPr>
          <w:b/>
          <w:sz w:val="22"/>
          <w:szCs w:val="22"/>
        </w:rPr>
        <w:t>Market Segmentation Theory</w:t>
      </w:r>
    </w:p>
    <w:p w:rsidR="00800860" w:rsidRPr="00890622" w:rsidRDefault="00800860" w:rsidP="00800860">
      <w:pPr>
        <w:ind w:left="720"/>
        <w:rPr>
          <w:sz w:val="22"/>
          <w:szCs w:val="22"/>
        </w:rPr>
      </w:pPr>
      <w:r w:rsidRPr="00890622">
        <w:rPr>
          <w:sz w:val="22"/>
          <w:szCs w:val="22"/>
        </w:rPr>
        <w:t xml:space="preserve">The Market Segmentation Theory asserts that the prices of bonds (and therefore the yields) are affected by </w:t>
      </w:r>
      <w:r w:rsidRPr="00890622">
        <w:rPr>
          <w:i/>
          <w:sz w:val="22"/>
          <w:szCs w:val="22"/>
        </w:rPr>
        <w:t>only</w:t>
      </w:r>
      <w:r w:rsidRPr="00890622">
        <w:rPr>
          <w:sz w:val="22"/>
          <w:szCs w:val="22"/>
        </w:rPr>
        <w:t xml:space="preserve"> by variations of supply and demand for specific maturities and are </w:t>
      </w:r>
      <w:r w:rsidRPr="00890622">
        <w:rPr>
          <w:i/>
          <w:sz w:val="22"/>
          <w:szCs w:val="22"/>
        </w:rPr>
        <w:t>not</w:t>
      </w:r>
      <w:r w:rsidRPr="00890622">
        <w:rPr>
          <w:sz w:val="22"/>
          <w:szCs w:val="22"/>
        </w:rPr>
        <w:t xml:space="preserve"> affected by expectations of future rates. </w:t>
      </w:r>
    </w:p>
    <w:p w:rsidR="00800860" w:rsidRPr="00890622" w:rsidRDefault="00800860" w:rsidP="00800860">
      <w:pPr>
        <w:ind w:left="720"/>
        <w:rPr>
          <w:sz w:val="22"/>
          <w:szCs w:val="22"/>
        </w:rPr>
      </w:pPr>
    </w:p>
    <w:p w:rsidR="00800860" w:rsidRPr="00890622" w:rsidRDefault="00800860" w:rsidP="00800860">
      <w:pPr>
        <w:ind w:left="720"/>
        <w:rPr>
          <w:sz w:val="22"/>
          <w:szCs w:val="22"/>
        </w:rPr>
      </w:pPr>
      <w:r w:rsidRPr="00890622">
        <w:rPr>
          <w:sz w:val="22"/>
          <w:szCs w:val="22"/>
        </w:rPr>
        <w:lastRenderedPageBreak/>
        <w:t>In other words, market participants are unwilling (or unable) to shift from one maturity sector to another to take advantage of opportunities arising from differences in expected future rates and implied forward rates.</w:t>
      </w:r>
    </w:p>
    <w:p w:rsidR="00800860" w:rsidRPr="00890622" w:rsidRDefault="00800860" w:rsidP="00800860">
      <w:pPr>
        <w:pStyle w:val="ListParagraph"/>
        <w:numPr>
          <w:ilvl w:val="0"/>
          <w:numId w:val="15"/>
        </w:numPr>
        <w:autoSpaceDE w:val="0"/>
        <w:autoSpaceDN w:val="0"/>
        <w:adjustRightInd w:val="0"/>
        <w:rPr>
          <w:b/>
          <w:sz w:val="22"/>
          <w:szCs w:val="22"/>
        </w:rPr>
      </w:pPr>
      <w:r w:rsidRPr="00890622">
        <w:rPr>
          <w:b/>
          <w:sz w:val="22"/>
          <w:szCs w:val="22"/>
        </w:rPr>
        <w:t xml:space="preserve">Describe the empirical term structure work described in the on pages 117 through 119. </w:t>
      </w:r>
    </w:p>
    <w:p w:rsidR="00061670" w:rsidRPr="00890622" w:rsidRDefault="00061670" w:rsidP="00061670">
      <w:pPr>
        <w:ind w:left="360"/>
        <w:rPr>
          <w:sz w:val="22"/>
          <w:szCs w:val="22"/>
        </w:rPr>
      </w:pPr>
      <w:r w:rsidRPr="00890622">
        <w:rPr>
          <w:sz w:val="22"/>
          <w:szCs w:val="22"/>
        </w:rPr>
        <w:t xml:space="preserve">The text book sites the research of </w:t>
      </w:r>
      <w:hyperlink r:id="rId8" w:anchor="AnttiIlmanen" w:history="1">
        <w:r w:rsidRPr="00890622">
          <w:rPr>
            <w:rStyle w:val="Hyperlink"/>
            <w:sz w:val="22"/>
            <w:szCs w:val="22"/>
          </w:rPr>
          <w:t>Antti Ilmanen</w:t>
        </w:r>
      </w:hyperlink>
      <w:r w:rsidRPr="00890622">
        <w:rPr>
          <w:sz w:val="22"/>
          <w:szCs w:val="22"/>
        </w:rPr>
        <w:t xml:space="preserve">. He plots yields as a function of duration (not maturity – see Exhibit 5-11 on page 118) and finds yield increases dramatically in duration through about 2 years, less steeply though about 5 years and then flattens and eventually declines in longer durations.  Ilmanen concludes yields are a function of: </w:t>
      </w:r>
    </w:p>
    <w:p w:rsidR="00061670" w:rsidRPr="00890622" w:rsidRDefault="00061670" w:rsidP="00061670">
      <w:pPr>
        <w:pStyle w:val="ListParagraph"/>
        <w:numPr>
          <w:ilvl w:val="0"/>
          <w:numId w:val="19"/>
        </w:numPr>
        <w:ind w:left="1080"/>
        <w:rPr>
          <w:sz w:val="22"/>
          <w:szCs w:val="22"/>
        </w:rPr>
      </w:pPr>
      <w:r w:rsidRPr="00890622">
        <w:rPr>
          <w:sz w:val="22"/>
          <w:szCs w:val="22"/>
        </w:rPr>
        <w:t>Market’s expectations of future rate changes (as discussed above)</w:t>
      </w:r>
    </w:p>
    <w:p w:rsidR="00061670" w:rsidRPr="00890622" w:rsidRDefault="00061670" w:rsidP="00061670">
      <w:pPr>
        <w:pStyle w:val="ListParagraph"/>
        <w:numPr>
          <w:ilvl w:val="0"/>
          <w:numId w:val="19"/>
        </w:numPr>
        <w:ind w:left="1080"/>
        <w:rPr>
          <w:sz w:val="22"/>
          <w:szCs w:val="22"/>
        </w:rPr>
      </w:pPr>
      <w:r w:rsidRPr="00890622">
        <w:rPr>
          <w:sz w:val="22"/>
          <w:szCs w:val="22"/>
        </w:rPr>
        <w:t>Liability matching or exogenous demand for specific maturities (Market Segmentation/Preferred Habitat)</w:t>
      </w:r>
    </w:p>
    <w:p w:rsidR="00061670" w:rsidRPr="00890622" w:rsidRDefault="00061670" w:rsidP="00061670">
      <w:pPr>
        <w:pStyle w:val="ListParagraph"/>
        <w:numPr>
          <w:ilvl w:val="0"/>
          <w:numId w:val="19"/>
        </w:numPr>
        <w:ind w:left="1080"/>
        <w:rPr>
          <w:sz w:val="22"/>
          <w:szCs w:val="22"/>
        </w:rPr>
      </w:pPr>
      <w:r w:rsidRPr="00890622">
        <w:rPr>
          <w:sz w:val="22"/>
          <w:szCs w:val="22"/>
        </w:rPr>
        <w:t>Yield premiums that compensate market participants for interest rates risk (measured by duration)</w:t>
      </w:r>
    </w:p>
    <w:p w:rsidR="00061670" w:rsidRPr="00890622" w:rsidRDefault="00061670" w:rsidP="00061670">
      <w:pPr>
        <w:pStyle w:val="ListParagraph"/>
        <w:numPr>
          <w:ilvl w:val="0"/>
          <w:numId w:val="19"/>
        </w:numPr>
        <w:ind w:left="1080"/>
        <w:rPr>
          <w:sz w:val="22"/>
          <w:szCs w:val="22"/>
        </w:rPr>
      </w:pPr>
      <w:r w:rsidRPr="00890622">
        <w:rPr>
          <w:sz w:val="22"/>
          <w:szCs w:val="22"/>
        </w:rPr>
        <w:t xml:space="preserve">Convexity Bias. “Convexity bias” means market participants prefer bonds with greater convexity.  Recall that convexity measures the curvature or change in the slope of the price/yield function.  Greater convexity means bonds experience a larger gain when rates fall relative to the loss when rates rise.  Investors will pay a premium (and therefore accept a lower yield) for bonds with greater convexity. </w:t>
      </w:r>
    </w:p>
    <w:p w:rsidR="00061670" w:rsidRPr="00890622" w:rsidRDefault="00061670" w:rsidP="00EC1369">
      <w:pPr>
        <w:autoSpaceDE w:val="0"/>
        <w:autoSpaceDN w:val="0"/>
        <w:adjustRightInd w:val="0"/>
        <w:ind w:left="360"/>
        <w:rPr>
          <w:sz w:val="22"/>
          <w:szCs w:val="22"/>
        </w:rPr>
      </w:pPr>
    </w:p>
    <w:p w:rsidR="00BF0392" w:rsidRPr="00890622" w:rsidRDefault="00BF0392" w:rsidP="00BF0392">
      <w:pPr>
        <w:rPr>
          <w:sz w:val="22"/>
          <w:szCs w:val="22"/>
        </w:rPr>
      </w:pPr>
    </w:p>
    <w:p w:rsidR="00890622" w:rsidRPr="00890622" w:rsidRDefault="00BF0392" w:rsidP="00BF0392">
      <w:pPr>
        <w:pStyle w:val="ListParagraph"/>
        <w:numPr>
          <w:ilvl w:val="0"/>
          <w:numId w:val="15"/>
        </w:numPr>
        <w:autoSpaceDE w:val="0"/>
        <w:autoSpaceDN w:val="0"/>
        <w:adjustRightInd w:val="0"/>
        <w:rPr>
          <w:b/>
          <w:sz w:val="22"/>
          <w:szCs w:val="22"/>
        </w:rPr>
      </w:pPr>
      <w:r w:rsidRPr="00890622">
        <w:rPr>
          <w:b/>
          <w:sz w:val="22"/>
          <w:szCs w:val="22"/>
        </w:rPr>
        <w:t>You have just lookup up the YTMs the 6 month, 1 year and 2 year on-the-run treasury securities</w:t>
      </w:r>
      <w:r w:rsidR="00890622" w:rsidRPr="00890622">
        <w:rPr>
          <w:b/>
          <w:sz w:val="22"/>
          <w:szCs w:val="22"/>
        </w:rPr>
        <w:t>. You have also looked up the coupons for the 1.5 year and 2 year bonds. The information is in the table below. All rates are in BEY terms.</w:t>
      </w:r>
    </w:p>
    <w:p w:rsidR="00890622" w:rsidRPr="00890622" w:rsidRDefault="00890622" w:rsidP="00890622">
      <w:pPr>
        <w:ind w:left="720" w:hanging="360"/>
        <w:rPr>
          <w:rFonts w:ascii="Comic Sans MS" w:hAnsi="Comic Sans MS"/>
          <w:b/>
          <w:color w:val="0000FF"/>
          <w:sz w:val="22"/>
          <w:szCs w:val="22"/>
        </w:rPr>
      </w:pPr>
    </w:p>
    <w:tbl>
      <w:tblPr>
        <w:tblW w:w="4320" w:type="dxa"/>
        <w:tblInd w:w="612" w:type="dxa"/>
        <w:tblLook w:val="04A0" w:firstRow="1" w:lastRow="0" w:firstColumn="1" w:lastColumn="0" w:noHBand="0" w:noVBand="1"/>
      </w:tblPr>
      <w:tblGrid>
        <w:gridCol w:w="1080"/>
        <w:gridCol w:w="1080"/>
        <w:gridCol w:w="1080"/>
        <w:gridCol w:w="1080"/>
      </w:tblGrid>
      <w:tr w:rsidR="00890622" w:rsidRPr="00890622" w:rsidTr="0074104A">
        <w:trPr>
          <w:trHeight w:val="300"/>
        </w:trPr>
        <w:tc>
          <w:tcPr>
            <w:tcW w:w="1080" w:type="dxa"/>
            <w:tcBorders>
              <w:top w:val="nil"/>
              <w:left w:val="nil"/>
              <w:bottom w:val="single" w:sz="4" w:space="0" w:color="auto"/>
              <w:right w:val="nil"/>
            </w:tcBorders>
            <w:shd w:val="clear" w:color="auto" w:fill="auto"/>
            <w:noWrap/>
            <w:vAlign w:val="bottom"/>
            <w:hideMark/>
          </w:tcPr>
          <w:p w:rsidR="00890622" w:rsidRPr="00890622" w:rsidRDefault="00890622" w:rsidP="0074104A">
            <w:pPr>
              <w:jc w:val="center"/>
              <w:rPr>
                <w:b/>
                <w:color w:val="000000"/>
                <w:sz w:val="22"/>
                <w:szCs w:val="22"/>
              </w:rPr>
            </w:pPr>
            <w:r w:rsidRPr="00890622">
              <w:rPr>
                <w:b/>
                <w:color w:val="000000"/>
                <w:sz w:val="22"/>
                <w:szCs w:val="22"/>
              </w:rPr>
              <w:t>Years</w:t>
            </w:r>
          </w:p>
        </w:tc>
        <w:tc>
          <w:tcPr>
            <w:tcW w:w="1080" w:type="dxa"/>
            <w:tcBorders>
              <w:top w:val="nil"/>
              <w:left w:val="nil"/>
              <w:bottom w:val="single" w:sz="4" w:space="0" w:color="auto"/>
              <w:right w:val="nil"/>
            </w:tcBorders>
            <w:shd w:val="clear" w:color="auto" w:fill="auto"/>
            <w:noWrap/>
            <w:vAlign w:val="bottom"/>
            <w:hideMark/>
          </w:tcPr>
          <w:p w:rsidR="00890622" w:rsidRPr="00890622" w:rsidRDefault="00890622" w:rsidP="0074104A">
            <w:pPr>
              <w:jc w:val="center"/>
              <w:rPr>
                <w:b/>
                <w:color w:val="000000"/>
                <w:sz w:val="22"/>
                <w:szCs w:val="22"/>
              </w:rPr>
            </w:pPr>
            <w:r w:rsidRPr="00890622">
              <w:rPr>
                <w:b/>
                <w:color w:val="000000"/>
                <w:sz w:val="22"/>
                <w:szCs w:val="22"/>
              </w:rPr>
              <w:t>Periods</w:t>
            </w:r>
          </w:p>
        </w:tc>
        <w:tc>
          <w:tcPr>
            <w:tcW w:w="1080" w:type="dxa"/>
            <w:tcBorders>
              <w:top w:val="nil"/>
              <w:left w:val="nil"/>
              <w:bottom w:val="single" w:sz="4" w:space="0" w:color="auto"/>
              <w:right w:val="nil"/>
            </w:tcBorders>
            <w:shd w:val="clear" w:color="auto" w:fill="auto"/>
            <w:noWrap/>
            <w:vAlign w:val="bottom"/>
            <w:hideMark/>
          </w:tcPr>
          <w:p w:rsidR="00890622" w:rsidRPr="00890622" w:rsidRDefault="00890622" w:rsidP="0074104A">
            <w:pPr>
              <w:jc w:val="center"/>
              <w:rPr>
                <w:b/>
                <w:color w:val="000000"/>
                <w:sz w:val="22"/>
                <w:szCs w:val="22"/>
              </w:rPr>
            </w:pPr>
            <w:r w:rsidRPr="00890622">
              <w:rPr>
                <w:b/>
                <w:color w:val="000000"/>
                <w:sz w:val="22"/>
                <w:szCs w:val="22"/>
              </w:rPr>
              <w:t>Coup %</w:t>
            </w:r>
          </w:p>
        </w:tc>
        <w:tc>
          <w:tcPr>
            <w:tcW w:w="1080" w:type="dxa"/>
            <w:tcBorders>
              <w:top w:val="nil"/>
              <w:left w:val="nil"/>
              <w:bottom w:val="single" w:sz="4" w:space="0" w:color="auto"/>
              <w:right w:val="nil"/>
            </w:tcBorders>
            <w:shd w:val="clear" w:color="auto" w:fill="auto"/>
            <w:noWrap/>
            <w:vAlign w:val="bottom"/>
            <w:hideMark/>
          </w:tcPr>
          <w:p w:rsidR="00890622" w:rsidRPr="00890622" w:rsidRDefault="00890622" w:rsidP="0074104A">
            <w:pPr>
              <w:jc w:val="center"/>
              <w:rPr>
                <w:b/>
                <w:color w:val="000000"/>
                <w:sz w:val="22"/>
                <w:szCs w:val="22"/>
              </w:rPr>
            </w:pPr>
            <w:r w:rsidRPr="00890622">
              <w:rPr>
                <w:b/>
                <w:color w:val="000000"/>
                <w:sz w:val="22"/>
                <w:szCs w:val="22"/>
              </w:rPr>
              <w:t>YTM</w:t>
            </w:r>
          </w:p>
        </w:tc>
      </w:tr>
      <w:tr w:rsidR="00890622" w:rsidRPr="00890622" w:rsidTr="0074104A">
        <w:trPr>
          <w:trHeight w:val="56"/>
        </w:trPr>
        <w:tc>
          <w:tcPr>
            <w:tcW w:w="1080" w:type="dxa"/>
            <w:tcBorders>
              <w:top w:val="nil"/>
              <w:left w:val="nil"/>
              <w:bottom w:val="nil"/>
              <w:right w:val="nil"/>
            </w:tcBorders>
            <w:shd w:val="clear" w:color="auto" w:fill="auto"/>
            <w:noWrap/>
            <w:vAlign w:val="bottom"/>
            <w:hideMark/>
          </w:tcPr>
          <w:p w:rsidR="00890622" w:rsidRPr="00890622" w:rsidRDefault="00890622" w:rsidP="0074104A">
            <w:pPr>
              <w:jc w:val="center"/>
              <w:rPr>
                <w:b/>
                <w:color w:val="000000"/>
                <w:sz w:val="22"/>
                <w:szCs w:val="22"/>
              </w:rPr>
            </w:pPr>
            <w:r w:rsidRPr="00890622">
              <w:rPr>
                <w:b/>
                <w:color w:val="000000"/>
                <w:sz w:val="22"/>
                <w:szCs w:val="22"/>
              </w:rPr>
              <w:t>0.5</w:t>
            </w:r>
          </w:p>
        </w:tc>
        <w:tc>
          <w:tcPr>
            <w:tcW w:w="1080" w:type="dxa"/>
            <w:tcBorders>
              <w:top w:val="nil"/>
              <w:left w:val="nil"/>
              <w:bottom w:val="nil"/>
              <w:right w:val="nil"/>
            </w:tcBorders>
            <w:shd w:val="clear" w:color="auto" w:fill="auto"/>
            <w:noWrap/>
            <w:vAlign w:val="bottom"/>
            <w:hideMark/>
          </w:tcPr>
          <w:p w:rsidR="00890622" w:rsidRPr="00890622" w:rsidRDefault="00890622" w:rsidP="0074104A">
            <w:pPr>
              <w:jc w:val="center"/>
              <w:rPr>
                <w:b/>
                <w:color w:val="000000"/>
                <w:sz w:val="22"/>
                <w:szCs w:val="22"/>
              </w:rPr>
            </w:pPr>
            <w:r w:rsidRPr="00890622">
              <w:rPr>
                <w:b/>
                <w:color w:val="000000"/>
                <w:sz w:val="22"/>
                <w:szCs w:val="22"/>
              </w:rPr>
              <w:t>1</w:t>
            </w:r>
          </w:p>
        </w:tc>
        <w:tc>
          <w:tcPr>
            <w:tcW w:w="1080" w:type="dxa"/>
            <w:tcBorders>
              <w:top w:val="nil"/>
              <w:left w:val="nil"/>
              <w:bottom w:val="nil"/>
              <w:right w:val="nil"/>
            </w:tcBorders>
            <w:shd w:val="clear" w:color="auto" w:fill="auto"/>
            <w:noWrap/>
            <w:vAlign w:val="bottom"/>
            <w:hideMark/>
          </w:tcPr>
          <w:p w:rsidR="00890622" w:rsidRPr="00890622" w:rsidRDefault="00890622" w:rsidP="0074104A">
            <w:pPr>
              <w:jc w:val="center"/>
              <w:rPr>
                <w:b/>
                <w:color w:val="000000"/>
                <w:sz w:val="22"/>
                <w:szCs w:val="22"/>
              </w:rPr>
            </w:pPr>
          </w:p>
        </w:tc>
        <w:tc>
          <w:tcPr>
            <w:tcW w:w="1080" w:type="dxa"/>
            <w:tcBorders>
              <w:top w:val="nil"/>
              <w:left w:val="nil"/>
              <w:bottom w:val="nil"/>
              <w:right w:val="nil"/>
            </w:tcBorders>
            <w:shd w:val="clear" w:color="auto" w:fill="auto"/>
            <w:noWrap/>
            <w:vAlign w:val="bottom"/>
            <w:hideMark/>
          </w:tcPr>
          <w:p w:rsidR="00890622" w:rsidRPr="00890622" w:rsidRDefault="00CF050B" w:rsidP="0074104A">
            <w:pPr>
              <w:jc w:val="center"/>
              <w:rPr>
                <w:b/>
                <w:color w:val="000000"/>
                <w:sz w:val="22"/>
                <w:szCs w:val="22"/>
              </w:rPr>
            </w:pPr>
            <w:r>
              <w:rPr>
                <w:b/>
                <w:color w:val="000000"/>
                <w:sz w:val="22"/>
                <w:szCs w:val="22"/>
              </w:rPr>
              <w:t>2</w:t>
            </w:r>
            <w:r w:rsidR="00890622" w:rsidRPr="00890622">
              <w:rPr>
                <w:b/>
                <w:color w:val="000000"/>
                <w:sz w:val="22"/>
                <w:szCs w:val="22"/>
              </w:rPr>
              <w:t>.00%</w:t>
            </w:r>
          </w:p>
        </w:tc>
      </w:tr>
      <w:tr w:rsidR="00890622" w:rsidRPr="00890622" w:rsidTr="0074104A">
        <w:trPr>
          <w:trHeight w:val="66"/>
        </w:trPr>
        <w:tc>
          <w:tcPr>
            <w:tcW w:w="1080" w:type="dxa"/>
            <w:tcBorders>
              <w:top w:val="nil"/>
              <w:left w:val="nil"/>
              <w:bottom w:val="nil"/>
              <w:right w:val="nil"/>
            </w:tcBorders>
            <w:shd w:val="clear" w:color="auto" w:fill="auto"/>
            <w:noWrap/>
            <w:vAlign w:val="bottom"/>
            <w:hideMark/>
          </w:tcPr>
          <w:p w:rsidR="00890622" w:rsidRPr="00890622" w:rsidRDefault="00890622" w:rsidP="0074104A">
            <w:pPr>
              <w:jc w:val="center"/>
              <w:rPr>
                <w:b/>
                <w:color w:val="000000"/>
                <w:sz w:val="22"/>
                <w:szCs w:val="22"/>
              </w:rPr>
            </w:pPr>
            <w:r w:rsidRPr="00890622">
              <w:rPr>
                <w:b/>
                <w:color w:val="000000"/>
                <w:sz w:val="22"/>
                <w:szCs w:val="22"/>
              </w:rPr>
              <w:t>1</w:t>
            </w:r>
          </w:p>
        </w:tc>
        <w:tc>
          <w:tcPr>
            <w:tcW w:w="1080" w:type="dxa"/>
            <w:tcBorders>
              <w:top w:val="nil"/>
              <w:left w:val="nil"/>
              <w:bottom w:val="nil"/>
              <w:right w:val="nil"/>
            </w:tcBorders>
            <w:shd w:val="clear" w:color="auto" w:fill="auto"/>
            <w:noWrap/>
            <w:vAlign w:val="bottom"/>
            <w:hideMark/>
          </w:tcPr>
          <w:p w:rsidR="00890622" w:rsidRPr="00890622" w:rsidRDefault="00890622" w:rsidP="0074104A">
            <w:pPr>
              <w:jc w:val="center"/>
              <w:rPr>
                <w:b/>
                <w:color w:val="000000"/>
                <w:sz w:val="22"/>
                <w:szCs w:val="22"/>
              </w:rPr>
            </w:pPr>
            <w:r w:rsidRPr="00890622">
              <w:rPr>
                <w:b/>
                <w:color w:val="000000"/>
                <w:sz w:val="22"/>
                <w:szCs w:val="22"/>
              </w:rPr>
              <w:t>2</w:t>
            </w:r>
          </w:p>
        </w:tc>
        <w:tc>
          <w:tcPr>
            <w:tcW w:w="1080" w:type="dxa"/>
            <w:tcBorders>
              <w:top w:val="nil"/>
              <w:left w:val="nil"/>
              <w:bottom w:val="nil"/>
              <w:right w:val="nil"/>
            </w:tcBorders>
            <w:shd w:val="clear" w:color="auto" w:fill="auto"/>
            <w:noWrap/>
            <w:vAlign w:val="bottom"/>
            <w:hideMark/>
          </w:tcPr>
          <w:p w:rsidR="00890622" w:rsidRPr="00890622" w:rsidRDefault="00890622" w:rsidP="0074104A">
            <w:pPr>
              <w:jc w:val="center"/>
              <w:rPr>
                <w:b/>
                <w:color w:val="000000"/>
                <w:sz w:val="22"/>
                <w:szCs w:val="22"/>
              </w:rPr>
            </w:pPr>
          </w:p>
        </w:tc>
        <w:tc>
          <w:tcPr>
            <w:tcW w:w="1080" w:type="dxa"/>
            <w:tcBorders>
              <w:top w:val="nil"/>
              <w:left w:val="nil"/>
              <w:bottom w:val="nil"/>
              <w:right w:val="nil"/>
            </w:tcBorders>
            <w:shd w:val="clear" w:color="auto" w:fill="auto"/>
            <w:noWrap/>
            <w:vAlign w:val="bottom"/>
            <w:hideMark/>
          </w:tcPr>
          <w:p w:rsidR="00890622" w:rsidRPr="00890622" w:rsidRDefault="00CF050B" w:rsidP="0074104A">
            <w:pPr>
              <w:jc w:val="center"/>
              <w:rPr>
                <w:b/>
                <w:color w:val="000000"/>
                <w:sz w:val="22"/>
                <w:szCs w:val="22"/>
              </w:rPr>
            </w:pPr>
            <w:r>
              <w:rPr>
                <w:b/>
                <w:color w:val="000000"/>
                <w:sz w:val="22"/>
                <w:szCs w:val="22"/>
              </w:rPr>
              <w:t>2</w:t>
            </w:r>
            <w:r w:rsidR="00890622" w:rsidRPr="00890622">
              <w:rPr>
                <w:b/>
                <w:color w:val="000000"/>
                <w:sz w:val="22"/>
                <w:szCs w:val="22"/>
              </w:rPr>
              <w:t>.50%</w:t>
            </w:r>
          </w:p>
        </w:tc>
      </w:tr>
      <w:tr w:rsidR="00890622" w:rsidRPr="00890622" w:rsidTr="0074104A">
        <w:trPr>
          <w:trHeight w:val="66"/>
        </w:trPr>
        <w:tc>
          <w:tcPr>
            <w:tcW w:w="1080" w:type="dxa"/>
            <w:tcBorders>
              <w:top w:val="nil"/>
              <w:left w:val="nil"/>
              <w:bottom w:val="nil"/>
              <w:right w:val="nil"/>
            </w:tcBorders>
            <w:shd w:val="clear" w:color="auto" w:fill="auto"/>
            <w:noWrap/>
            <w:vAlign w:val="bottom"/>
            <w:hideMark/>
          </w:tcPr>
          <w:p w:rsidR="00890622" w:rsidRPr="00890622" w:rsidRDefault="00890622" w:rsidP="0074104A">
            <w:pPr>
              <w:jc w:val="center"/>
              <w:rPr>
                <w:b/>
                <w:color w:val="000000"/>
                <w:sz w:val="22"/>
                <w:szCs w:val="22"/>
              </w:rPr>
            </w:pPr>
            <w:r w:rsidRPr="00890622">
              <w:rPr>
                <w:b/>
                <w:color w:val="000000"/>
                <w:sz w:val="22"/>
                <w:szCs w:val="22"/>
              </w:rPr>
              <w:t>1.5</w:t>
            </w:r>
          </w:p>
        </w:tc>
        <w:tc>
          <w:tcPr>
            <w:tcW w:w="1080" w:type="dxa"/>
            <w:tcBorders>
              <w:top w:val="nil"/>
              <w:left w:val="nil"/>
              <w:bottom w:val="nil"/>
              <w:right w:val="nil"/>
            </w:tcBorders>
            <w:shd w:val="clear" w:color="auto" w:fill="auto"/>
            <w:noWrap/>
            <w:vAlign w:val="bottom"/>
            <w:hideMark/>
          </w:tcPr>
          <w:p w:rsidR="00890622" w:rsidRPr="00890622" w:rsidRDefault="00890622" w:rsidP="0074104A">
            <w:pPr>
              <w:jc w:val="center"/>
              <w:rPr>
                <w:b/>
                <w:color w:val="000000"/>
                <w:sz w:val="22"/>
                <w:szCs w:val="22"/>
              </w:rPr>
            </w:pPr>
            <w:r w:rsidRPr="00890622">
              <w:rPr>
                <w:b/>
                <w:color w:val="000000"/>
                <w:sz w:val="22"/>
                <w:szCs w:val="22"/>
              </w:rPr>
              <w:t>3</w:t>
            </w:r>
          </w:p>
        </w:tc>
        <w:tc>
          <w:tcPr>
            <w:tcW w:w="1080" w:type="dxa"/>
            <w:tcBorders>
              <w:top w:val="nil"/>
              <w:left w:val="nil"/>
              <w:bottom w:val="nil"/>
              <w:right w:val="nil"/>
            </w:tcBorders>
            <w:shd w:val="clear" w:color="auto" w:fill="auto"/>
            <w:noWrap/>
            <w:vAlign w:val="bottom"/>
            <w:hideMark/>
          </w:tcPr>
          <w:p w:rsidR="00890622" w:rsidRPr="00890622" w:rsidRDefault="00CF050B" w:rsidP="00CF050B">
            <w:pPr>
              <w:jc w:val="center"/>
              <w:rPr>
                <w:b/>
                <w:color w:val="000000"/>
                <w:sz w:val="22"/>
                <w:szCs w:val="22"/>
              </w:rPr>
            </w:pPr>
            <w:r>
              <w:rPr>
                <w:b/>
                <w:color w:val="000000"/>
                <w:sz w:val="22"/>
                <w:szCs w:val="22"/>
              </w:rPr>
              <w:t>3</w:t>
            </w:r>
            <w:r w:rsidR="00890622" w:rsidRPr="00890622">
              <w:rPr>
                <w:b/>
                <w:color w:val="000000"/>
                <w:sz w:val="22"/>
                <w:szCs w:val="22"/>
              </w:rPr>
              <w:t>.</w:t>
            </w:r>
            <w:r>
              <w:rPr>
                <w:b/>
                <w:color w:val="000000"/>
                <w:sz w:val="22"/>
                <w:szCs w:val="22"/>
              </w:rPr>
              <w:t>00</w:t>
            </w:r>
            <w:r w:rsidR="00890622" w:rsidRPr="00890622">
              <w:rPr>
                <w:b/>
                <w:color w:val="000000"/>
                <w:sz w:val="22"/>
                <w:szCs w:val="22"/>
              </w:rPr>
              <w:t>%</w:t>
            </w:r>
          </w:p>
        </w:tc>
        <w:tc>
          <w:tcPr>
            <w:tcW w:w="1080" w:type="dxa"/>
            <w:tcBorders>
              <w:top w:val="nil"/>
              <w:left w:val="nil"/>
              <w:bottom w:val="nil"/>
              <w:right w:val="nil"/>
            </w:tcBorders>
            <w:shd w:val="clear" w:color="auto" w:fill="auto"/>
            <w:noWrap/>
            <w:vAlign w:val="bottom"/>
          </w:tcPr>
          <w:p w:rsidR="00890622" w:rsidRPr="00890622" w:rsidRDefault="00890622" w:rsidP="0074104A">
            <w:pPr>
              <w:jc w:val="center"/>
              <w:rPr>
                <w:b/>
                <w:color w:val="000000"/>
                <w:sz w:val="22"/>
                <w:szCs w:val="22"/>
              </w:rPr>
            </w:pPr>
          </w:p>
        </w:tc>
      </w:tr>
      <w:tr w:rsidR="00890622" w:rsidRPr="00890622" w:rsidTr="0074104A">
        <w:trPr>
          <w:trHeight w:val="66"/>
        </w:trPr>
        <w:tc>
          <w:tcPr>
            <w:tcW w:w="1080" w:type="dxa"/>
            <w:tcBorders>
              <w:top w:val="nil"/>
              <w:left w:val="nil"/>
              <w:bottom w:val="nil"/>
              <w:right w:val="nil"/>
            </w:tcBorders>
            <w:shd w:val="clear" w:color="auto" w:fill="auto"/>
            <w:noWrap/>
            <w:vAlign w:val="bottom"/>
            <w:hideMark/>
          </w:tcPr>
          <w:p w:rsidR="00890622" w:rsidRPr="00890622" w:rsidRDefault="00890622" w:rsidP="0074104A">
            <w:pPr>
              <w:jc w:val="center"/>
              <w:rPr>
                <w:b/>
                <w:color w:val="000000"/>
                <w:sz w:val="22"/>
                <w:szCs w:val="22"/>
              </w:rPr>
            </w:pPr>
            <w:r w:rsidRPr="00890622">
              <w:rPr>
                <w:b/>
                <w:color w:val="000000"/>
                <w:sz w:val="22"/>
                <w:szCs w:val="22"/>
              </w:rPr>
              <w:t>2</w:t>
            </w:r>
          </w:p>
        </w:tc>
        <w:tc>
          <w:tcPr>
            <w:tcW w:w="1080" w:type="dxa"/>
            <w:tcBorders>
              <w:top w:val="nil"/>
              <w:left w:val="nil"/>
              <w:bottom w:val="nil"/>
              <w:right w:val="nil"/>
            </w:tcBorders>
            <w:shd w:val="clear" w:color="auto" w:fill="auto"/>
            <w:noWrap/>
            <w:vAlign w:val="bottom"/>
            <w:hideMark/>
          </w:tcPr>
          <w:p w:rsidR="00890622" w:rsidRPr="00890622" w:rsidRDefault="00890622" w:rsidP="0074104A">
            <w:pPr>
              <w:jc w:val="center"/>
              <w:rPr>
                <w:b/>
                <w:color w:val="000000"/>
                <w:sz w:val="22"/>
                <w:szCs w:val="22"/>
              </w:rPr>
            </w:pPr>
            <w:r w:rsidRPr="00890622">
              <w:rPr>
                <w:b/>
                <w:color w:val="000000"/>
                <w:sz w:val="22"/>
                <w:szCs w:val="22"/>
              </w:rPr>
              <w:t>4</w:t>
            </w:r>
          </w:p>
        </w:tc>
        <w:tc>
          <w:tcPr>
            <w:tcW w:w="1080" w:type="dxa"/>
            <w:tcBorders>
              <w:top w:val="nil"/>
              <w:left w:val="nil"/>
              <w:bottom w:val="nil"/>
              <w:right w:val="nil"/>
            </w:tcBorders>
            <w:shd w:val="clear" w:color="auto" w:fill="auto"/>
            <w:noWrap/>
            <w:vAlign w:val="bottom"/>
            <w:hideMark/>
          </w:tcPr>
          <w:p w:rsidR="00890622" w:rsidRPr="00890622" w:rsidRDefault="00CF050B" w:rsidP="0074104A">
            <w:pPr>
              <w:jc w:val="center"/>
              <w:rPr>
                <w:b/>
                <w:color w:val="000000"/>
                <w:sz w:val="22"/>
                <w:szCs w:val="22"/>
              </w:rPr>
            </w:pPr>
            <w:r>
              <w:rPr>
                <w:b/>
                <w:color w:val="000000"/>
                <w:sz w:val="22"/>
                <w:szCs w:val="22"/>
              </w:rPr>
              <w:t>3</w:t>
            </w:r>
            <w:r w:rsidR="00890622" w:rsidRPr="00890622">
              <w:rPr>
                <w:b/>
                <w:color w:val="000000"/>
                <w:sz w:val="22"/>
                <w:szCs w:val="22"/>
              </w:rPr>
              <w:t>.60%</w:t>
            </w:r>
          </w:p>
        </w:tc>
        <w:tc>
          <w:tcPr>
            <w:tcW w:w="1080" w:type="dxa"/>
            <w:tcBorders>
              <w:top w:val="nil"/>
              <w:left w:val="nil"/>
              <w:bottom w:val="nil"/>
              <w:right w:val="nil"/>
            </w:tcBorders>
            <w:shd w:val="clear" w:color="auto" w:fill="auto"/>
            <w:noWrap/>
            <w:vAlign w:val="bottom"/>
            <w:hideMark/>
          </w:tcPr>
          <w:p w:rsidR="00890622" w:rsidRPr="00890622" w:rsidRDefault="00CF050B" w:rsidP="0074104A">
            <w:pPr>
              <w:jc w:val="center"/>
              <w:rPr>
                <w:b/>
                <w:color w:val="000000"/>
                <w:sz w:val="22"/>
                <w:szCs w:val="22"/>
              </w:rPr>
            </w:pPr>
            <w:r>
              <w:rPr>
                <w:b/>
                <w:color w:val="000000"/>
                <w:sz w:val="22"/>
                <w:szCs w:val="22"/>
              </w:rPr>
              <w:t>3</w:t>
            </w:r>
            <w:r w:rsidR="00890622" w:rsidRPr="00890622">
              <w:rPr>
                <w:b/>
                <w:color w:val="000000"/>
                <w:sz w:val="22"/>
                <w:szCs w:val="22"/>
              </w:rPr>
              <w:t>.40%</w:t>
            </w:r>
          </w:p>
        </w:tc>
      </w:tr>
    </w:tbl>
    <w:p w:rsidR="00890622" w:rsidRPr="00890622" w:rsidRDefault="00890622" w:rsidP="00890622">
      <w:pPr>
        <w:pStyle w:val="ListParagraph"/>
        <w:autoSpaceDE w:val="0"/>
        <w:autoSpaceDN w:val="0"/>
        <w:adjustRightInd w:val="0"/>
        <w:ind w:left="360"/>
        <w:rPr>
          <w:b/>
          <w:sz w:val="22"/>
          <w:szCs w:val="22"/>
        </w:rPr>
      </w:pPr>
    </w:p>
    <w:p w:rsidR="00890622" w:rsidRPr="00890622" w:rsidRDefault="00890622" w:rsidP="00890622">
      <w:pPr>
        <w:pStyle w:val="ListParagraph"/>
        <w:widowControl w:val="0"/>
        <w:numPr>
          <w:ilvl w:val="0"/>
          <w:numId w:val="21"/>
        </w:numPr>
        <w:autoSpaceDE w:val="0"/>
        <w:autoSpaceDN w:val="0"/>
        <w:adjustRightInd w:val="0"/>
        <w:rPr>
          <w:b/>
          <w:sz w:val="22"/>
          <w:szCs w:val="22"/>
        </w:rPr>
      </w:pPr>
      <w:r>
        <w:rPr>
          <w:b/>
          <w:sz w:val="22"/>
          <w:szCs w:val="22"/>
        </w:rPr>
        <w:t>Use linear interpolation to compute a YTM for the 1.5 year (3 period) bond.</w:t>
      </w:r>
    </w:p>
    <w:p w:rsidR="004F37B4" w:rsidRDefault="004F37B4" w:rsidP="00890622">
      <w:pPr>
        <w:autoSpaceDE w:val="0"/>
        <w:autoSpaceDN w:val="0"/>
        <w:adjustRightInd w:val="0"/>
        <w:ind w:left="720"/>
        <w:rPr>
          <w:sz w:val="22"/>
          <w:szCs w:val="22"/>
        </w:rPr>
      </w:pPr>
    </w:p>
    <w:p w:rsidR="00760FC9" w:rsidRDefault="00760FC9" w:rsidP="00890622">
      <w:pPr>
        <w:autoSpaceDE w:val="0"/>
        <w:autoSpaceDN w:val="0"/>
        <w:adjustRightInd w:val="0"/>
        <w:ind w:left="720"/>
        <w:rPr>
          <w:sz w:val="22"/>
          <w:szCs w:val="22"/>
        </w:rPr>
      </w:pPr>
      <w:r>
        <w:rPr>
          <w:sz w:val="22"/>
          <w:szCs w:val="22"/>
        </w:rPr>
        <w:t>Use the value that is half way between the 2 period and 4 period YTMs:</w:t>
      </w:r>
    </w:p>
    <w:p w:rsidR="00890622" w:rsidRPr="00890622" w:rsidRDefault="00760FC9" w:rsidP="00890622">
      <w:pPr>
        <w:autoSpaceDE w:val="0"/>
        <w:autoSpaceDN w:val="0"/>
        <w:adjustRightInd w:val="0"/>
        <w:ind w:left="720"/>
        <w:rPr>
          <w:sz w:val="22"/>
          <w:szCs w:val="22"/>
        </w:rPr>
      </w:pPr>
      <w:r>
        <w:rPr>
          <w:sz w:val="22"/>
          <w:szCs w:val="22"/>
        </w:rPr>
        <w:t>2</w:t>
      </w:r>
      <w:r w:rsidR="00890622">
        <w:rPr>
          <w:sz w:val="22"/>
          <w:szCs w:val="22"/>
        </w:rPr>
        <w:t>.50% + (</w:t>
      </w:r>
      <w:r>
        <w:rPr>
          <w:sz w:val="22"/>
          <w:szCs w:val="22"/>
        </w:rPr>
        <w:t>3</w:t>
      </w:r>
      <w:r w:rsidR="00890622">
        <w:rPr>
          <w:sz w:val="22"/>
          <w:szCs w:val="22"/>
        </w:rPr>
        <w:t xml:space="preserve">.40% </w:t>
      </w:r>
      <w:r>
        <w:rPr>
          <w:sz w:val="22"/>
          <w:szCs w:val="22"/>
        </w:rPr>
        <w:t>–</w:t>
      </w:r>
      <w:r w:rsidR="00890622">
        <w:rPr>
          <w:sz w:val="22"/>
          <w:szCs w:val="22"/>
        </w:rPr>
        <w:t xml:space="preserve"> </w:t>
      </w:r>
      <w:r>
        <w:rPr>
          <w:sz w:val="22"/>
          <w:szCs w:val="22"/>
        </w:rPr>
        <w:t>2</w:t>
      </w:r>
      <w:r w:rsidR="00890622">
        <w:rPr>
          <w:sz w:val="22"/>
          <w:szCs w:val="22"/>
        </w:rPr>
        <w:t xml:space="preserve">.50%)/(4 – 2) = </w:t>
      </w:r>
      <w:r w:rsidR="00CF050B">
        <w:rPr>
          <w:sz w:val="22"/>
          <w:szCs w:val="22"/>
        </w:rPr>
        <w:t>2</w:t>
      </w:r>
      <w:r w:rsidR="00890622">
        <w:rPr>
          <w:sz w:val="22"/>
          <w:szCs w:val="22"/>
        </w:rPr>
        <w:t>.95%</w:t>
      </w:r>
    </w:p>
    <w:p w:rsidR="00890622" w:rsidRDefault="00890622" w:rsidP="00890622">
      <w:pPr>
        <w:pStyle w:val="ListParagraph"/>
        <w:widowControl w:val="0"/>
        <w:autoSpaceDE w:val="0"/>
        <w:autoSpaceDN w:val="0"/>
        <w:adjustRightInd w:val="0"/>
        <w:rPr>
          <w:b/>
          <w:sz w:val="22"/>
          <w:szCs w:val="22"/>
        </w:rPr>
      </w:pPr>
    </w:p>
    <w:tbl>
      <w:tblPr>
        <w:tblW w:w="4320" w:type="dxa"/>
        <w:tblInd w:w="612" w:type="dxa"/>
        <w:tblLook w:val="04A0" w:firstRow="1" w:lastRow="0" w:firstColumn="1" w:lastColumn="0" w:noHBand="0" w:noVBand="1"/>
      </w:tblPr>
      <w:tblGrid>
        <w:gridCol w:w="1080"/>
        <w:gridCol w:w="1080"/>
        <w:gridCol w:w="1080"/>
        <w:gridCol w:w="1080"/>
      </w:tblGrid>
      <w:tr w:rsidR="00656EA6" w:rsidRPr="00890622" w:rsidTr="0074104A">
        <w:trPr>
          <w:trHeight w:val="300"/>
        </w:trPr>
        <w:tc>
          <w:tcPr>
            <w:tcW w:w="1080" w:type="dxa"/>
            <w:tcBorders>
              <w:top w:val="nil"/>
              <w:left w:val="nil"/>
              <w:bottom w:val="single" w:sz="4" w:space="0" w:color="auto"/>
              <w:right w:val="nil"/>
            </w:tcBorders>
            <w:shd w:val="clear" w:color="auto" w:fill="auto"/>
            <w:noWrap/>
            <w:vAlign w:val="bottom"/>
            <w:hideMark/>
          </w:tcPr>
          <w:p w:rsidR="00656EA6" w:rsidRPr="00656EA6" w:rsidRDefault="00656EA6" w:rsidP="0074104A">
            <w:pPr>
              <w:jc w:val="center"/>
              <w:rPr>
                <w:color w:val="000000"/>
                <w:sz w:val="22"/>
                <w:szCs w:val="22"/>
              </w:rPr>
            </w:pPr>
            <w:r w:rsidRPr="00656EA6">
              <w:rPr>
                <w:color w:val="000000"/>
                <w:sz w:val="22"/>
                <w:szCs w:val="22"/>
              </w:rPr>
              <w:t>Years</w:t>
            </w:r>
          </w:p>
        </w:tc>
        <w:tc>
          <w:tcPr>
            <w:tcW w:w="1080" w:type="dxa"/>
            <w:tcBorders>
              <w:top w:val="nil"/>
              <w:left w:val="nil"/>
              <w:bottom w:val="single" w:sz="4" w:space="0" w:color="auto"/>
              <w:right w:val="nil"/>
            </w:tcBorders>
            <w:shd w:val="clear" w:color="auto" w:fill="auto"/>
            <w:noWrap/>
            <w:vAlign w:val="bottom"/>
            <w:hideMark/>
          </w:tcPr>
          <w:p w:rsidR="00656EA6" w:rsidRPr="00656EA6" w:rsidRDefault="00656EA6" w:rsidP="0074104A">
            <w:pPr>
              <w:jc w:val="center"/>
              <w:rPr>
                <w:color w:val="000000"/>
                <w:sz w:val="22"/>
                <w:szCs w:val="22"/>
              </w:rPr>
            </w:pPr>
            <w:r w:rsidRPr="00656EA6">
              <w:rPr>
                <w:color w:val="000000"/>
                <w:sz w:val="22"/>
                <w:szCs w:val="22"/>
              </w:rPr>
              <w:t>Periods</w:t>
            </w:r>
          </w:p>
        </w:tc>
        <w:tc>
          <w:tcPr>
            <w:tcW w:w="1080" w:type="dxa"/>
            <w:tcBorders>
              <w:top w:val="nil"/>
              <w:left w:val="nil"/>
              <w:bottom w:val="single" w:sz="4" w:space="0" w:color="auto"/>
              <w:right w:val="nil"/>
            </w:tcBorders>
            <w:shd w:val="clear" w:color="auto" w:fill="auto"/>
            <w:noWrap/>
            <w:vAlign w:val="bottom"/>
            <w:hideMark/>
          </w:tcPr>
          <w:p w:rsidR="00656EA6" w:rsidRPr="00656EA6" w:rsidRDefault="00656EA6" w:rsidP="0074104A">
            <w:pPr>
              <w:jc w:val="center"/>
              <w:rPr>
                <w:color w:val="000000"/>
                <w:sz w:val="22"/>
                <w:szCs w:val="22"/>
              </w:rPr>
            </w:pPr>
            <w:r w:rsidRPr="00656EA6">
              <w:rPr>
                <w:color w:val="000000"/>
                <w:sz w:val="22"/>
                <w:szCs w:val="22"/>
              </w:rPr>
              <w:t>Coup %</w:t>
            </w:r>
          </w:p>
        </w:tc>
        <w:tc>
          <w:tcPr>
            <w:tcW w:w="1080" w:type="dxa"/>
            <w:tcBorders>
              <w:top w:val="nil"/>
              <w:left w:val="nil"/>
              <w:bottom w:val="single" w:sz="4" w:space="0" w:color="auto"/>
              <w:right w:val="nil"/>
            </w:tcBorders>
            <w:shd w:val="clear" w:color="auto" w:fill="auto"/>
            <w:noWrap/>
            <w:vAlign w:val="bottom"/>
            <w:hideMark/>
          </w:tcPr>
          <w:p w:rsidR="00656EA6" w:rsidRPr="00656EA6" w:rsidRDefault="00656EA6" w:rsidP="0074104A">
            <w:pPr>
              <w:jc w:val="center"/>
              <w:rPr>
                <w:color w:val="000000"/>
                <w:sz w:val="22"/>
                <w:szCs w:val="22"/>
              </w:rPr>
            </w:pPr>
            <w:r w:rsidRPr="00656EA6">
              <w:rPr>
                <w:color w:val="000000"/>
                <w:sz w:val="22"/>
                <w:szCs w:val="22"/>
              </w:rPr>
              <w:t>YTM</w:t>
            </w:r>
          </w:p>
        </w:tc>
      </w:tr>
      <w:tr w:rsidR="00656EA6" w:rsidRPr="00890622" w:rsidTr="0074104A">
        <w:trPr>
          <w:trHeight w:val="56"/>
        </w:trPr>
        <w:tc>
          <w:tcPr>
            <w:tcW w:w="1080" w:type="dxa"/>
            <w:tcBorders>
              <w:top w:val="nil"/>
              <w:left w:val="nil"/>
              <w:bottom w:val="nil"/>
              <w:right w:val="nil"/>
            </w:tcBorders>
            <w:shd w:val="clear" w:color="auto" w:fill="auto"/>
            <w:noWrap/>
            <w:vAlign w:val="bottom"/>
            <w:hideMark/>
          </w:tcPr>
          <w:p w:rsidR="00656EA6" w:rsidRPr="00656EA6" w:rsidRDefault="00656EA6" w:rsidP="0074104A">
            <w:pPr>
              <w:jc w:val="center"/>
              <w:rPr>
                <w:color w:val="000000"/>
                <w:sz w:val="22"/>
                <w:szCs w:val="22"/>
              </w:rPr>
            </w:pPr>
            <w:r w:rsidRPr="00656EA6">
              <w:rPr>
                <w:color w:val="000000"/>
                <w:sz w:val="22"/>
                <w:szCs w:val="22"/>
              </w:rPr>
              <w:t>0.5</w:t>
            </w:r>
          </w:p>
        </w:tc>
        <w:tc>
          <w:tcPr>
            <w:tcW w:w="1080" w:type="dxa"/>
            <w:tcBorders>
              <w:top w:val="nil"/>
              <w:left w:val="nil"/>
              <w:bottom w:val="nil"/>
              <w:right w:val="nil"/>
            </w:tcBorders>
            <w:shd w:val="clear" w:color="auto" w:fill="auto"/>
            <w:noWrap/>
            <w:vAlign w:val="bottom"/>
            <w:hideMark/>
          </w:tcPr>
          <w:p w:rsidR="00656EA6" w:rsidRPr="00656EA6" w:rsidRDefault="00656EA6" w:rsidP="0074104A">
            <w:pPr>
              <w:jc w:val="center"/>
              <w:rPr>
                <w:color w:val="000000"/>
                <w:sz w:val="22"/>
                <w:szCs w:val="22"/>
              </w:rPr>
            </w:pPr>
            <w:r w:rsidRPr="00656EA6">
              <w:rPr>
                <w:color w:val="000000"/>
                <w:sz w:val="22"/>
                <w:szCs w:val="22"/>
              </w:rPr>
              <w:t>1</w:t>
            </w:r>
          </w:p>
        </w:tc>
        <w:tc>
          <w:tcPr>
            <w:tcW w:w="1080" w:type="dxa"/>
            <w:tcBorders>
              <w:top w:val="nil"/>
              <w:left w:val="nil"/>
              <w:bottom w:val="nil"/>
              <w:right w:val="nil"/>
            </w:tcBorders>
            <w:shd w:val="clear" w:color="auto" w:fill="auto"/>
            <w:noWrap/>
            <w:vAlign w:val="bottom"/>
            <w:hideMark/>
          </w:tcPr>
          <w:p w:rsidR="00656EA6" w:rsidRPr="00656EA6" w:rsidRDefault="00656EA6" w:rsidP="0074104A">
            <w:pPr>
              <w:jc w:val="center"/>
              <w:rPr>
                <w:color w:val="000000"/>
                <w:sz w:val="22"/>
                <w:szCs w:val="22"/>
              </w:rPr>
            </w:pPr>
          </w:p>
        </w:tc>
        <w:tc>
          <w:tcPr>
            <w:tcW w:w="1080" w:type="dxa"/>
            <w:tcBorders>
              <w:top w:val="nil"/>
              <w:left w:val="nil"/>
              <w:bottom w:val="nil"/>
              <w:right w:val="nil"/>
            </w:tcBorders>
            <w:shd w:val="clear" w:color="auto" w:fill="auto"/>
            <w:noWrap/>
            <w:vAlign w:val="bottom"/>
            <w:hideMark/>
          </w:tcPr>
          <w:p w:rsidR="00656EA6" w:rsidRPr="00656EA6" w:rsidRDefault="00760FC9" w:rsidP="0074104A">
            <w:pPr>
              <w:jc w:val="center"/>
              <w:rPr>
                <w:color w:val="000000"/>
                <w:sz w:val="22"/>
                <w:szCs w:val="22"/>
              </w:rPr>
            </w:pPr>
            <w:r>
              <w:rPr>
                <w:color w:val="000000"/>
                <w:sz w:val="22"/>
                <w:szCs w:val="22"/>
              </w:rPr>
              <w:t>2</w:t>
            </w:r>
            <w:r w:rsidR="00656EA6" w:rsidRPr="00656EA6">
              <w:rPr>
                <w:color w:val="000000"/>
                <w:sz w:val="22"/>
                <w:szCs w:val="22"/>
              </w:rPr>
              <w:t>.00%</w:t>
            </w:r>
          </w:p>
        </w:tc>
      </w:tr>
      <w:tr w:rsidR="00656EA6" w:rsidRPr="00890622" w:rsidTr="0074104A">
        <w:trPr>
          <w:trHeight w:val="66"/>
        </w:trPr>
        <w:tc>
          <w:tcPr>
            <w:tcW w:w="1080" w:type="dxa"/>
            <w:tcBorders>
              <w:top w:val="nil"/>
              <w:left w:val="nil"/>
              <w:bottom w:val="nil"/>
              <w:right w:val="nil"/>
            </w:tcBorders>
            <w:shd w:val="clear" w:color="auto" w:fill="auto"/>
            <w:noWrap/>
            <w:vAlign w:val="bottom"/>
            <w:hideMark/>
          </w:tcPr>
          <w:p w:rsidR="00656EA6" w:rsidRPr="00656EA6" w:rsidRDefault="00656EA6" w:rsidP="0074104A">
            <w:pPr>
              <w:jc w:val="center"/>
              <w:rPr>
                <w:color w:val="000000"/>
                <w:sz w:val="22"/>
                <w:szCs w:val="22"/>
              </w:rPr>
            </w:pPr>
            <w:r w:rsidRPr="00656EA6">
              <w:rPr>
                <w:color w:val="000000"/>
                <w:sz w:val="22"/>
                <w:szCs w:val="22"/>
              </w:rPr>
              <w:t>1</w:t>
            </w:r>
          </w:p>
        </w:tc>
        <w:tc>
          <w:tcPr>
            <w:tcW w:w="1080" w:type="dxa"/>
            <w:tcBorders>
              <w:top w:val="nil"/>
              <w:left w:val="nil"/>
              <w:bottom w:val="nil"/>
              <w:right w:val="nil"/>
            </w:tcBorders>
            <w:shd w:val="clear" w:color="auto" w:fill="auto"/>
            <w:noWrap/>
            <w:vAlign w:val="bottom"/>
            <w:hideMark/>
          </w:tcPr>
          <w:p w:rsidR="00656EA6" w:rsidRPr="00656EA6" w:rsidRDefault="00656EA6" w:rsidP="0074104A">
            <w:pPr>
              <w:jc w:val="center"/>
              <w:rPr>
                <w:color w:val="000000"/>
                <w:sz w:val="22"/>
                <w:szCs w:val="22"/>
              </w:rPr>
            </w:pPr>
            <w:r w:rsidRPr="00656EA6">
              <w:rPr>
                <w:color w:val="000000"/>
                <w:sz w:val="22"/>
                <w:szCs w:val="22"/>
              </w:rPr>
              <w:t>2</w:t>
            </w:r>
          </w:p>
        </w:tc>
        <w:tc>
          <w:tcPr>
            <w:tcW w:w="1080" w:type="dxa"/>
            <w:tcBorders>
              <w:top w:val="nil"/>
              <w:left w:val="nil"/>
              <w:bottom w:val="nil"/>
              <w:right w:val="nil"/>
            </w:tcBorders>
            <w:shd w:val="clear" w:color="auto" w:fill="auto"/>
            <w:noWrap/>
            <w:vAlign w:val="bottom"/>
            <w:hideMark/>
          </w:tcPr>
          <w:p w:rsidR="00656EA6" w:rsidRPr="00656EA6" w:rsidRDefault="00656EA6" w:rsidP="0074104A">
            <w:pPr>
              <w:jc w:val="center"/>
              <w:rPr>
                <w:color w:val="000000"/>
                <w:sz w:val="22"/>
                <w:szCs w:val="22"/>
              </w:rPr>
            </w:pPr>
          </w:p>
        </w:tc>
        <w:tc>
          <w:tcPr>
            <w:tcW w:w="1080" w:type="dxa"/>
            <w:tcBorders>
              <w:top w:val="nil"/>
              <w:left w:val="nil"/>
              <w:bottom w:val="nil"/>
              <w:right w:val="nil"/>
            </w:tcBorders>
            <w:shd w:val="clear" w:color="auto" w:fill="auto"/>
            <w:noWrap/>
            <w:vAlign w:val="bottom"/>
            <w:hideMark/>
          </w:tcPr>
          <w:p w:rsidR="00656EA6" w:rsidRPr="00656EA6" w:rsidRDefault="00760FC9" w:rsidP="0074104A">
            <w:pPr>
              <w:jc w:val="center"/>
              <w:rPr>
                <w:color w:val="000000"/>
                <w:sz w:val="22"/>
                <w:szCs w:val="22"/>
              </w:rPr>
            </w:pPr>
            <w:r>
              <w:rPr>
                <w:color w:val="000000"/>
                <w:sz w:val="22"/>
                <w:szCs w:val="22"/>
              </w:rPr>
              <w:t>2</w:t>
            </w:r>
            <w:r w:rsidR="00656EA6" w:rsidRPr="00656EA6">
              <w:rPr>
                <w:color w:val="000000"/>
                <w:sz w:val="22"/>
                <w:szCs w:val="22"/>
              </w:rPr>
              <w:t>.50%</w:t>
            </w:r>
          </w:p>
        </w:tc>
      </w:tr>
      <w:tr w:rsidR="00656EA6" w:rsidRPr="00890622" w:rsidTr="0074104A">
        <w:trPr>
          <w:trHeight w:val="66"/>
        </w:trPr>
        <w:tc>
          <w:tcPr>
            <w:tcW w:w="1080" w:type="dxa"/>
            <w:tcBorders>
              <w:top w:val="nil"/>
              <w:left w:val="nil"/>
              <w:bottom w:val="nil"/>
              <w:right w:val="nil"/>
            </w:tcBorders>
            <w:shd w:val="clear" w:color="auto" w:fill="auto"/>
            <w:noWrap/>
            <w:vAlign w:val="bottom"/>
            <w:hideMark/>
          </w:tcPr>
          <w:p w:rsidR="00656EA6" w:rsidRPr="00656EA6" w:rsidRDefault="00656EA6" w:rsidP="0074104A">
            <w:pPr>
              <w:jc w:val="center"/>
              <w:rPr>
                <w:color w:val="000000"/>
                <w:sz w:val="22"/>
                <w:szCs w:val="22"/>
              </w:rPr>
            </w:pPr>
            <w:r w:rsidRPr="00656EA6">
              <w:rPr>
                <w:color w:val="000000"/>
                <w:sz w:val="22"/>
                <w:szCs w:val="22"/>
              </w:rPr>
              <w:t>1.5</w:t>
            </w:r>
          </w:p>
        </w:tc>
        <w:tc>
          <w:tcPr>
            <w:tcW w:w="1080" w:type="dxa"/>
            <w:tcBorders>
              <w:top w:val="nil"/>
              <w:left w:val="nil"/>
              <w:bottom w:val="nil"/>
              <w:right w:val="nil"/>
            </w:tcBorders>
            <w:shd w:val="clear" w:color="auto" w:fill="auto"/>
            <w:noWrap/>
            <w:vAlign w:val="bottom"/>
            <w:hideMark/>
          </w:tcPr>
          <w:p w:rsidR="00656EA6" w:rsidRPr="00656EA6" w:rsidRDefault="00656EA6" w:rsidP="0074104A">
            <w:pPr>
              <w:jc w:val="center"/>
              <w:rPr>
                <w:color w:val="000000"/>
                <w:sz w:val="22"/>
                <w:szCs w:val="22"/>
              </w:rPr>
            </w:pPr>
            <w:r w:rsidRPr="00656EA6">
              <w:rPr>
                <w:color w:val="000000"/>
                <w:sz w:val="22"/>
                <w:szCs w:val="22"/>
              </w:rPr>
              <w:t>3</w:t>
            </w:r>
          </w:p>
        </w:tc>
        <w:tc>
          <w:tcPr>
            <w:tcW w:w="1080" w:type="dxa"/>
            <w:tcBorders>
              <w:top w:val="nil"/>
              <w:left w:val="nil"/>
              <w:bottom w:val="nil"/>
              <w:right w:val="nil"/>
            </w:tcBorders>
            <w:shd w:val="clear" w:color="auto" w:fill="auto"/>
            <w:noWrap/>
            <w:vAlign w:val="bottom"/>
            <w:hideMark/>
          </w:tcPr>
          <w:p w:rsidR="00656EA6" w:rsidRPr="00656EA6" w:rsidRDefault="00760FC9" w:rsidP="00760FC9">
            <w:pPr>
              <w:jc w:val="center"/>
              <w:rPr>
                <w:color w:val="000000"/>
                <w:sz w:val="22"/>
                <w:szCs w:val="22"/>
              </w:rPr>
            </w:pPr>
            <w:r>
              <w:rPr>
                <w:color w:val="000000"/>
                <w:sz w:val="22"/>
                <w:szCs w:val="22"/>
              </w:rPr>
              <w:t>3</w:t>
            </w:r>
            <w:r w:rsidR="00656EA6" w:rsidRPr="00656EA6">
              <w:rPr>
                <w:color w:val="000000"/>
                <w:sz w:val="22"/>
                <w:szCs w:val="22"/>
              </w:rPr>
              <w:t>.</w:t>
            </w:r>
            <w:r>
              <w:rPr>
                <w:color w:val="000000"/>
                <w:sz w:val="22"/>
                <w:szCs w:val="22"/>
              </w:rPr>
              <w:t>0</w:t>
            </w:r>
            <w:r w:rsidR="00656EA6" w:rsidRPr="00656EA6">
              <w:rPr>
                <w:color w:val="000000"/>
                <w:sz w:val="22"/>
                <w:szCs w:val="22"/>
              </w:rPr>
              <w:t>0%</w:t>
            </w:r>
          </w:p>
        </w:tc>
        <w:tc>
          <w:tcPr>
            <w:tcW w:w="1080" w:type="dxa"/>
            <w:tcBorders>
              <w:top w:val="nil"/>
              <w:left w:val="nil"/>
              <w:bottom w:val="nil"/>
              <w:right w:val="nil"/>
            </w:tcBorders>
            <w:shd w:val="clear" w:color="auto" w:fill="auto"/>
            <w:noWrap/>
            <w:vAlign w:val="bottom"/>
          </w:tcPr>
          <w:p w:rsidR="00656EA6" w:rsidRPr="00656EA6" w:rsidRDefault="00760FC9" w:rsidP="00760FC9">
            <w:pPr>
              <w:jc w:val="center"/>
              <w:rPr>
                <w:i/>
                <w:color w:val="000000"/>
                <w:sz w:val="22"/>
                <w:szCs w:val="22"/>
              </w:rPr>
            </w:pPr>
            <w:r>
              <w:rPr>
                <w:i/>
                <w:color w:val="000000"/>
                <w:sz w:val="22"/>
                <w:szCs w:val="22"/>
              </w:rPr>
              <w:t>2.95</w:t>
            </w:r>
            <w:r w:rsidR="00656EA6" w:rsidRPr="00656EA6">
              <w:rPr>
                <w:i/>
                <w:color w:val="000000"/>
                <w:sz w:val="22"/>
                <w:szCs w:val="22"/>
              </w:rPr>
              <w:t>%</w:t>
            </w:r>
          </w:p>
        </w:tc>
      </w:tr>
      <w:tr w:rsidR="00656EA6" w:rsidRPr="00890622" w:rsidTr="0074104A">
        <w:trPr>
          <w:trHeight w:val="66"/>
        </w:trPr>
        <w:tc>
          <w:tcPr>
            <w:tcW w:w="1080" w:type="dxa"/>
            <w:tcBorders>
              <w:top w:val="nil"/>
              <w:left w:val="nil"/>
              <w:bottom w:val="nil"/>
              <w:right w:val="nil"/>
            </w:tcBorders>
            <w:shd w:val="clear" w:color="auto" w:fill="auto"/>
            <w:noWrap/>
            <w:vAlign w:val="bottom"/>
            <w:hideMark/>
          </w:tcPr>
          <w:p w:rsidR="00656EA6" w:rsidRPr="00656EA6" w:rsidRDefault="00656EA6" w:rsidP="0074104A">
            <w:pPr>
              <w:jc w:val="center"/>
              <w:rPr>
                <w:color w:val="000000"/>
                <w:sz w:val="22"/>
                <w:szCs w:val="22"/>
              </w:rPr>
            </w:pPr>
            <w:r w:rsidRPr="00656EA6">
              <w:rPr>
                <w:color w:val="000000"/>
                <w:sz w:val="22"/>
                <w:szCs w:val="22"/>
              </w:rPr>
              <w:t>2</w:t>
            </w:r>
          </w:p>
        </w:tc>
        <w:tc>
          <w:tcPr>
            <w:tcW w:w="1080" w:type="dxa"/>
            <w:tcBorders>
              <w:top w:val="nil"/>
              <w:left w:val="nil"/>
              <w:bottom w:val="nil"/>
              <w:right w:val="nil"/>
            </w:tcBorders>
            <w:shd w:val="clear" w:color="auto" w:fill="auto"/>
            <w:noWrap/>
            <w:vAlign w:val="bottom"/>
            <w:hideMark/>
          </w:tcPr>
          <w:p w:rsidR="00656EA6" w:rsidRPr="00656EA6" w:rsidRDefault="00656EA6" w:rsidP="0074104A">
            <w:pPr>
              <w:jc w:val="center"/>
              <w:rPr>
                <w:color w:val="000000"/>
                <w:sz w:val="22"/>
                <w:szCs w:val="22"/>
              </w:rPr>
            </w:pPr>
            <w:r w:rsidRPr="00656EA6">
              <w:rPr>
                <w:color w:val="000000"/>
                <w:sz w:val="22"/>
                <w:szCs w:val="22"/>
              </w:rPr>
              <w:t>4</w:t>
            </w:r>
          </w:p>
        </w:tc>
        <w:tc>
          <w:tcPr>
            <w:tcW w:w="1080" w:type="dxa"/>
            <w:tcBorders>
              <w:top w:val="nil"/>
              <w:left w:val="nil"/>
              <w:bottom w:val="nil"/>
              <w:right w:val="nil"/>
            </w:tcBorders>
            <w:shd w:val="clear" w:color="auto" w:fill="auto"/>
            <w:noWrap/>
            <w:vAlign w:val="bottom"/>
            <w:hideMark/>
          </w:tcPr>
          <w:p w:rsidR="00656EA6" w:rsidRPr="00656EA6" w:rsidRDefault="00760FC9" w:rsidP="0074104A">
            <w:pPr>
              <w:jc w:val="center"/>
              <w:rPr>
                <w:color w:val="000000"/>
                <w:sz w:val="22"/>
                <w:szCs w:val="22"/>
              </w:rPr>
            </w:pPr>
            <w:r>
              <w:rPr>
                <w:color w:val="000000"/>
                <w:sz w:val="22"/>
                <w:szCs w:val="22"/>
              </w:rPr>
              <w:t>3</w:t>
            </w:r>
            <w:r w:rsidR="00656EA6" w:rsidRPr="00656EA6">
              <w:rPr>
                <w:color w:val="000000"/>
                <w:sz w:val="22"/>
                <w:szCs w:val="22"/>
              </w:rPr>
              <w:t>.60%</w:t>
            </w:r>
          </w:p>
        </w:tc>
        <w:tc>
          <w:tcPr>
            <w:tcW w:w="1080" w:type="dxa"/>
            <w:tcBorders>
              <w:top w:val="nil"/>
              <w:left w:val="nil"/>
              <w:bottom w:val="nil"/>
              <w:right w:val="nil"/>
            </w:tcBorders>
            <w:shd w:val="clear" w:color="auto" w:fill="auto"/>
            <w:noWrap/>
            <w:vAlign w:val="bottom"/>
            <w:hideMark/>
          </w:tcPr>
          <w:p w:rsidR="00656EA6" w:rsidRPr="00656EA6" w:rsidRDefault="00760FC9" w:rsidP="0074104A">
            <w:pPr>
              <w:jc w:val="center"/>
              <w:rPr>
                <w:color w:val="000000"/>
                <w:sz w:val="22"/>
                <w:szCs w:val="22"/>
              </w:rPr>
            </w:pPr>
            <w:r>
              <w:rPr>
                <w:color w:val="000000"/>
                <w:sz w:val="22"/>
                <w:szCs w:val="22"/>
              </w:rPr>
              <w:t>3</w:t>
            </w:r>
            <w:r w:rsidR="00656EA6" w:rsidRPr="00656EA6">
              <w:rPr>
                <w:color w:val="000000"/>
                <w:sz w:val="22"/>
                <w:szCs w:val="22"/>
              </w:rPr>
              <w:t>.40%</w:t>
            </w:r>
          </w:p>
        </w:tc>
      </w:tr>
    </w:tbl>
    <w:p w:rsidR="00656EA6" w:rsidRDefault="00656EA6" w:rsidP="00890622">
      <w:pPr>
        <w:pStyle w:val="ListParagraph"/>
        <w:widowControl w:val="0"/>
        <w:autoSpaceDE w:val="0"/>
        <w:autoSpaceDN w:val="0"/>
        <w:adjustRightInd w:val="0"/>
        <w:rPr>
          <w:b/>
          <w:sz w:val="22"/>
          <w:szCs w:val="22"/>
        </w:rPr>
      </w:pPr>
    </w:p>
    <w:p w:rsidR="00890622" w:rsidRPr="00DB6F95" w:rsidRDefault="00890622" w:rsidP="00890622">
      <w:pPr>
        <w:pStyle w:val="ListParagraph"/>
        <w:widowControl w:val="0"/>
        <w:numPr>
          <w:ilvl w:val="0"/>
          <w:numId w:val="21"/>
        </w:numPr>
        <w:autoSpaceDE w:val="0"/>
        <w:autoSpaceDN w:val="0"/>
        <w:adjustRightInd w:val="0"/>
        <w:rPr>
          <w:b/>
          <w:sz w:val="22"/>
          <w:szCs w:val="22"/>
        </w:rPr>
      </w:pPr>
      <w:r w:rsidRPr="00DB6F95">
        <w:rPr>
          <w:b/>
          <w:sz w:val="22"/>
          <w:szCs w:val="22"/>
        </w:rPr>
        <w:t xml:space="preserve">Why do we use the linear interpolation method </w:t>
      </w:r>
      <w:r w:rsidR="00DB6F95" w:rsidRPr="00DB6F95">
        <w:rPr>
          <w:b/>
          <w:sz w:val="22"/>
          <w:szCs w:val="22"/>
        </w:rPr>
        <w:t>and not the market YTM for the 1.5 bond?</w:t>
      </w:r>
    </w:p>
    <w:p w:rsidR="004F37B4" w:rsidRDefault="004F37B4" w:rsidP="00DB6F95">
      <w:pPr>
        <w:pStyle w:val="ListParagraph"/>
        <w:autoSpaceDE w:val="0"/>
        <w:autoSpaceDN w:val="0"/>
        <w:adjustRightInd w:val="0"/>
        <w:rPr>
          <w:sz w:val="22"/>
          <w:szCs w:val="22"/>
        </w:rPr>
      </w:pPr>
    </w:p>
    <w:p w:rsidR="00890622" w:rsidRPr="00890622" w:rsidRDefault="00DB6F95" w:rsidP="00DB6F95">
      <w:pPr>
        <w:pStyle w:val="ListParagraph"/>
        <w:autoSpaceDE w:val="0"/>
        <w:autoSpaceDN w:val="0"/>
        <w:adjustRightInd w:val="0"/>
        <w:rPr>
          <w:b/>
          <w:sz w:val="22"/>
          <w:szCs w:val="22"/>
        </w:rPr>
      </w:pPr>
      <w:r>
        <w:rPr>
          <w:sz w:val="22"/>
          <w:szCs w:val="22"/>
        </w:rPr>
        <w:t>Because since the 1.5 year bond is most likely a 6-month old two year bond, and therefore “off-the-run” it will be less liquid and market participants buying the bond will require a liquidity premium for holding the bond. Therefore the market YTM will likely be higher than the YTM computed as the midpoint between the two on-the-runs bonds.</w:t>
      </w:r>
    </w:p>
    <w:p w:rsidR="00890622" w:rsidRDefault="00890622" w:rsidP="00890622">
      <w:pPr>
        <w:pStyle w:val="ListParagraph"/>
        <w:autoSpaceDE w:val="0"/>
        <w:autoSpaceDN w:val="0"/>
        <w:adjustRightInd w:val="0"/>
        <w:ind w:left="360"/>
        <w:rPr>
          <w:b/>
          <w:sz w:val="22"/>
          <w:szCs w:val="22"/>
        </w:rPr>
      </w:pPr>
    </w:p>
    <w:p w:rsidR="00DB6F95" w:rsidRPr="00DB6F95" w:rsidRDefault="00656EA6" w:rsidP="00DB6F95">
      <w:pPr>
        <w:pStyle w:val="ListParagraph"/>
        <w:widowControl w:val="0"/>
        <w:numPr>
          <w:ilvl w:val="0"/>
          <w:numId w:val="21"/>
        </w:numPr>
        <w:autoSpaceDE w:val="0"/>
        <w:autoSpaceDN w:val="0"/>
        <w:adjustRightInd w:val="0"/>
        <w:rPr>
          <w:b/>
          <w:sz w:val="22"/>
          <w:szCs w:val="22"/>
        </w:rPr>
      </w:pPr>
      <w:r>
        <w:rPr>
          <w:b/>
          <w:sz w:val="22"/>
          <w:szCs w:val="22"/>
        </w:rPr>
        <w:t>Compute the price of the 1.5 year bond</w:t>
      </w:r>
    </w:p>
    <w:p w:rsidR="004F37B4" w:rsidRDefault="004F37B4" w:rsidP="00760FC9">
      <w:pPr>
        <w:pStyle w:val="ListParagraph"/>
        <w:autoSpaceDE w:val="0"/>
        <w:autoSpaceDN w:val="0"/>
        <w:adjustRightInd w:val="0"/>
        <w:rPr>
          <w:sz w:val="22"/>
          <w:szCs w:val="22"/>
        </w:rPr>
      </w:pPr>
    </w:p>
    <w:p w:rsidR="00760FC9" w:rsidRPr="00760FC9" w:rsidRDefault="00656EA6" w:rsidP="00760FC9">
      <w:pPr>
        <w:pStyle w:val="ListParagraph"/>
        <w:autoSpaceDE w:val="0"/>
        <w:autoSpaceDN w:val="0"/>
        <w:adjustRightInd w:val="0"/>
        <w:rPr>
          <w:sz w:val="22"/>
          <w:szCs w:val="22"/>
        </w:rPr>
      </w:pPr>
      <w:r w:rsidRPr="00656EA6">
        <w:rPr>
          <w:sz w:val="22"/>
          <w:szCs w:val="22"/>
        </w:rPr>
        <w:t xml:space="preserve">N = 3, </w:t>
      </w:r>
      <w:r>
        <w:rPr>
          <w:sz w:val="22"/>
          <w:szCs w:val="22"/>
        </w:rPr>
        <w:t xml:space="preserve">PMT = </w:t>
      </w:r>
      <w:r w:rsidR="0074104A">
        <w:rPr>
          <w:sz w:val="22"/>
          <w:szCs w:val="22"/>
        </w:rPr>
        <w:t>3</w:t>
      </w:r>
      <w:r w:rsidR="00760FC9">
        <w:rPr>
          <w:sz w:val="22"/>
          <w:szCs w:val="22"/>
        </w:rPr>
        <w:t>.00</w:t>
      </w:r>
      <w:r>
        <w:rPr>
          <w:sz w:val="22"/>
          <w:szCs w:val="22"/>
        </w:rPr>
        <w:t>/</w:t>
      </w:r>
      <w:r w:rsidR="0074104A">
        <w:rPr>
          <w:sz w:val="22"/>
          <w:szCs w:val="22"/>
        </w:rPr>
        <w:t>2</w:t>
      </w:r>
      <w:r>
        <w:rPr>
          <w:sz w:val="22"/>
          <w:szCs w:val="22"/>
        </w:rPr>
        <w:t xml:space="preserve"> = </w:t>
      </w:r>
      <w:r w:rsidR="00760FC9">
        <w:rPr>
          <w:sz w:val="22"/>
          <w:szCs w:val="22"/>
        </w:rPr>
        <w:t>1</w:t>
      </w:r>
      <w:r>
        <w:rPr>
          <w:sz w:val="22"/>
          <w:szCs w:val="22"/>
        </w:rPr>
        <w:t>.</w:t>
      </w:r>
      <w:r w:rsidR="0074104A">
        <w:rPr>
          <w:sz w:val="22"/>
          <w:szCs w:val="22"/>
        </w:rPr>
        <w:t>5</w:t>
      </w:r>
      <w:r w:rsidR="00760FC9">
        <w:rPr>
          <w:sz w:val="22"/>
          <w:szCs w:val="22"/>
        </w:rPr>
        <w:t>0</w:t>
      </w:r>
      <w:r>
        <w:rPr>
          <w:sz w:val="22"/>
          <w:szCs w:val="22"/>
        </w:rPr>
        <w:t xml:space="preserve">, I/Y = </w:t>
      </w:r>
      <w:r w:rsidR="0074104A">
        <w:rPr>
          <w:sz w:val="22"/>
          <w:szCs w:val="22"/>
        </w:rPr>
        <w:t>2</w:t>
      </w:r>
      <w:r>
        <w:rPr>
          <w:sz w:val="22"/>
          <w:szCs w:val="22"/>
        </w:rPr>
        <w:t xml:space="preserve">.95/2 = </w:t>
      </w:r>
      <w:r w:rsidR="0074104A">
        <w:rPr>
          <w:sz w:val="22"/>
          <w:szCs w:val="22"/>
        </w:rPr>
        <w:t>1</w:t>
      </w:r>
      <w:r>
        <w:rPr>
          <w:sz w:val="22"/>
          <w:szCs w:val="22"/>
        </w:rPr>
        <w:t>.</w:t>
      </w:r>
      <w:r w:rsidR="0074104A">
        <w:rPr>
          <w:sz w:val="22"/>
          <w:szCs w:val="22"/>
        </w:rPr>
        <w:t>4</w:t>
      </w:r>
      <w:r>
        <w:rPr>
          <w:sz w:val="22"/>
          <w:szCs w:val="22"/>
        </w:rPr>
        <w:t xml:space="preserve">75 FV = 100 PV = </w:t>
      </w:r>
      <w:r w:rsidR="00760FC9">
        <w:rPr>
          <w:sz w:val="22"/>
          <w:szCs w:val="22"/>
        </w:rPr>
        <w:t>100.07</w:t>
      </w:r>
    </w:p>
    <w:p w:rsidR="00DB6F95" w:rsidRDefault="00DB6F95" w:rsidP="00890622">
      <w:pPr>
        <w:pStyle w:val="ListParagraph"/>
        <w:autoSpaceDE w:val="0"/>
        <w:autoSpaceDN w:val="0"/>
        <w:adjustRightInd w:val="0"/>
        <w:ind w:left="360"/>
        <w:rPr>
          <w:b/>
          <w:sz w:val="22"/>
          <w:szCs w:val="22"/>
        </w:rPr>
      </w:pPr>
    </w:p>
    <w:p w:rsidR="004F37B4" w:rsidRDefault="004F37B4" w:rsidP="00890622">
      <w:pPr>
        <w:pStyle w:val="ListParagraph"/>
        <w:autoSpaceDE w:val="0"/>
        <w:autoSpaceDN w:val="0"/>
        <w:adjustRightInd w:val="0"/>
        <w:ind w:left="360"/>
        <w:rPr>
          <w:b/>
          <w:sz w:val="22"/>
          <w:szCs w:val="22"/>
        </w:rPr>
      </w:pPr>
    </w:p>
    <w:p w:rsidR="004F37B4" w:rsidRDefault="004F37B4" w:rsidP="00890622">
      <w:pPr>
        <w:pStyle w:val="ListParagraph"/>
        <w:autoSpaceDE w:val="0"/>
        <w:autoSpaceDN w:val="0"/>
        <w:adjustRightInd w:val="0"/>
        <w:ind w:left="360"/>
        <w:rPr>
          <w:b/>
          <w:sz w:val="22"/>
          <w:szCs w:val="22"/>
        </w:rPr>
      </w:pPr>
    </w:p>
    <w:p w:rsidR="004F37B4" w:rsidRDefault="004F37B4" w:rsidP="00890622">
      <w:pPr>
        <w:pStyle w:val="ListParagraph"/>
        <w:autoSpaceDE w:val="0"/>
        <w:autoSpaceDN w:val="0"/>
        <w:adjustRightInd w:val="0"/>
        <w:ind w:left="360"/>
        <w:rPr>
          <w:b/>
          <w:sz w:val="22"/>
          <w:szCs w:val="22"/>
        </w:rPr>
      </w:pPr>
    </w:p>
    <w:p w:rsidR="004F37B4" w:rsidRDefault="004F37B4" w:rsidP="00890622">
      <w:pPr>
        <w:pStyle w:val="ListParagraph"/>
        <w:autoSpaceDE w:val="0"/>
        <w:autoSpaceDN w:val="0"/>
        <w:adjustRightInd w:val="0"/>
        <w:ind w:left="360"/>
        <w:rPr>
          <w:b/>
          <w:sz w:val="22"/>
          <w:szCs w:val="22"/>
        </w:rPr>
      </w:pPr>
    </w:p>
    <w:p w:rsidR="00656EA6" w:rsidRPr="00DB6F95" w:rsidRDefault="00656EA6" w:rsidP="00656EA6">
      <w:pPr>
        <w:pStyle w:val="ListParagraph"/>
        <w:widowControl w:val="0"/>
        <w:numPr>
          <w:ilvl w:val="0"/>
          <w:numId w:val="21"/>
        </w:numPr>
        <w:autoSpaceDE w:val="0"/>
        <w:autoSpaceDN w:val="0"/>
        <w:adjustRightInd w:val="0"/>
        <w:rPr>
          <w:b/>
          <w:sz w:val="22"/>
          <w:szCs w:val="22"/>
        </w:rPr>
      </w:pPr>
      <w:r>
        <w:rPr>
          <w:b/>
          <w:sz w:val="22"/>
          <w:szCs w:val="22"/>
        </w:rPr>
        <w:t xml:space="preserve">Compute the theoretical spot zero rate for a payment that occurs in exactly 1.5 years (3 periods). This rate is </w:t>
      </w:r>
      <w:r w:rsidR="0074104A">
        <w:rPr>
          <w:b/>
          <w:sz w:val="22"/>
          <w:szCs w:val="22"/>
        </w:rPr>
        <w:t xml:space="preserve">reported as 2 x </w:t>
      </w:r>
      <w:r w:rsidR="00760FC9">
        <w:rPr>
          <w:b/>
          <w:sz w:val="22"/>
          <w:szCs w:val="22"/>
        </w:rPr>
        <w:t>z</w:t>
      </w:r>
      <w:r w:rsidRPr="00656EA6">
        <w:rPr>
          <w:b/>
          <w:sz w:val="22"/>
          <w:szCs w:val="22"/>
          <w:vertAlign w:val="subscript"/>
        </w:rPr>
        <w:t>3</w:t>
      </w:r>
      <w:r w:rsidRPr="00656EA6">
        <w:rPr>
          <w:b/>
          <w:sz w:val="22"/>
          <w:szCs w:val="22"/>
        </w:rPr>
        <w:t>.</w:t>
      </w:r>
      <w:r w:rsidR="00BD30C9">
        <w:rPr>
          <w:b/>
          <w:sz w:val="22"/>
          <w:szCs w:val="22"/>
        </w:rPr>
        <w:t xml:space="preserve"> This method is called “boot strapping.”</w:t>
      </w:r>
    </w:p>
    <w:p w:rsidR="004F37B4" w:rsidRDefault="004F37B4" w:rsidP="00656EA6">
      <w:pPr>
        <w:pStyle w:val="ListParagraph"/>
        <w:autoSpaceDE w:val="0"/>
        <w:autoSpaceDN w:val="0"/>
        <w:adjustRightInd w:val="0"/>
        <w:rPr>
          <w:sz w:val="22"/>
          <w:szCs w:val="22"/>
        </w:rPr>
      </w:pPr>
    </w:p>
    <w:p w:rsidR="00656EA6" w:rsidRPr="00656EA6" w:rsidRDefault="00656EA6" w:rsidP="00656EA6">
      <w:pPr>
        <w:pStyle w:val="ListParagraph"/>
        <w:autoSpaceDE w:val="0"/>
        <w:autoSpaceDN w:val="0"/>
        <w:adjustRightInd w:val="0"/>
        <w:rPr>
          <w:sz w:val="22"/>
          <w:szCs w:val="22"/>
        </w:rPr>
      </w:pPr>
      <w:r>
        <w:rPr>
          <w:sz w:val="22"/>
          <w:szCs w:val="22"/>
        </w:rPr>
        <w:t>P</w:t>
      </w:r>
      <w:r w:rsidRPr="00656EA6">
        <w:rPr>
          <w:sz w:val="22"/>
          <w:szCs w:val="22"/>
          <w:vertAlign w:val="subscript"/>
        </w:rPr>
        <w:t>3</w:t>
      </w:r>
      <w:r>
        <w:rPr>
          <w:sz w:val="22"/>
          <w:szCs w:val="22"/>
        </w:rPr>
        <w:t xml:space="preserve"> = C/(1 + z</w:t>
      </w:r>
      <w:r w:rsidRPr="00656EA6">
        <w:rPr>
          <w:sz w:val="22"/>
          <w:szCs w:val="22"/>
          <w:vertAlign w:val="subscript"/>
        </w:rPr>
        <w:t>1</w:t>
      </w:r>
      <w:r>
        <w:rPr>
          <w:sz w:val="22"/>
          <w:szCs w:val="22"/>
        </w:rPr>
        <w:t>) + C/(1 + z</w:t>
      </w:r>
      <w:r w:rsidRPr="00656EA6">
        <w:rPr>
          <w:sz w:val="22"/>
          <w:szCs w:val="22"/>
          <w:vertAlign w:val="subscript"/>
        </w:rPr>
        <w:t>2</w:t>
      </w:r>
      <w:r>
        <w:rPr>
          <w:sz w:val="22"/>
          <w:szCs w:val="22"/>
        </w:rPr>
        <w:t>)</w:t>
      </w:r>
      <w:r w:rsidRPr="00656EA6">
        <w:rPr>
          <w:sz w:val="22"/>
          <w:szCs w:val="22"/>
          <w:vertAlign w:val="superscript"/>
        </w:rPr>
        <w:t>2</w:t>
      </w:r>
      <w:r>
        <w:rPr>
          <w:sz w:val="22"/>
          <w:szCs w:val="22"/>
        </w:rPr>
        <w:t xml:space="preserve"> + (C</w:t>
      </w:r>
      <w:r w:rsidR="00760FC9">
        <w:rPr>
          <w:sz w:val="22"/>
          <w:szCs w:val="22"/>
        </w:rPr>
        <w:t xml:space="preserve"> </w:t>
      </w:r>
      <w:r>
        <w:rPr>
          <w:sz w:val="22"/>
          <w:szCs w:val="22"/>
        </w:rPr>
        <w:t>+</w:t>
      </w:r>
      <w:r w:rsidR="00760FC9">
        <w:rPr>
          <w:sz w:val="22"/>
          <w:szCs w:val="22"/>
        </w:rPr>
        <w:t xml:space="preserve"> </w:t>
      </w:r>
      <w:r>
        <w:rPr>
          <w:sz w:val="22"/>
          <w:szCs w:val="22"/>
        </w:rPr>
        <w:t xml:space="preserve">M)/(1 + </w:t>
      </w:r>
      <w:r w:rsidRPr="0074104A">
        <w:rPr>
          <w:b/>
          <w:sz w:val="22"/>
          <w:szCs w:val="22"/>
        </w:rPr>
        <w:t>z</w:t>
      </w:r>
      <w:r w:rsidRPr="0074104A">
        <w:rPr>
          <w:b/>
          <w:sz w:val="22"/>
          <w:szCs w:val="22"/>
          <w:vertAlign w:val="subscript"/>
        </w:rPr>
        <w:t>3</w:t>
      </w:r>
      <w:r>
        <w:rPr>
          <w:sz w:val="22"/>
          <w:szCs w:val="22"/>
        </w:rPr>
        <w:t>)</w:t>
      </w:r>
      <w:r w:rsidRPr="00656EA6">
        <w:rPr>
          <w:sz w:val="22"/>
          <w:szCs w:val="22"/>
          <w:vertAlign w:val="superscript"/>
        </w:rPr>
        <w:t>3</w:t>
      </w:r>
    </w:p>
    <w:p w:rsidR="00656EA6" w:rsidRPr="00760FC9" w:rsidRDefault="00760FC9" w:rsidP="00890622">
      <w:pPr>
        <w:pStyle w:val="ListParagraph"/>
        <w:autoSpaceDE w:val="0"/>
        <w:autoSpaceDN w:val="0"/>
        <w:adjustRightInd w:val="0"/>
        <w:ind w:left="360"/>
        <w:rPr>
          <w:b/>
          <w:sz w:val="22"/>
          <w:szCs w:val="22"/>
          <w:vertAlign w:val="subscript"/>
        </w:rPr>
      </w:pPr>
      <w:r>
        <w:rPr>
          <w:b/>
          <w:sz w:val="22"/>
          <w:szCs w:val="22"/>
        </w:rPr>
        <w:tab/>
      </w:r>
      <w:r>
        <w:rPr>
          <w:sz w:val="22"/>
          <w:szCs w:val="22"/>
        </w:rPr>
        <w:t>z</w:t>
      </w:r>
      <w:r w:rsidRPr="00760FC9">
        <w:rPr>
          <w:sz w:val="22"/>
          <w:szCs w:val="22"/>
          <w:vertAlign w:val="subscript"/>
        </w:rPr>
        <w:t>3</w:t>
      </w:r>
      <w:r w:rsidRPr="00760FC9">
        <w:rPr>
          <w:sz w:val="22"/>
          <w:szCs w:val="22"/>
        </w:rPr>
        <w:t xml:space="preserve"> </w:t>
      </w:r>
      <w:r>
        <w:rPr>
          <w:sz w:val="22"/>
          <w:szCs w:val="22"/>
        </w:rPr>
        <w:t>= (C + M)/[</w:t>
      </w:r>
      <w:r w:rsidRPr="00760FC9">
        <w:rPr>
          <w:sz w:val="22"/>
          <w:szCs w:val="22"/>
        </w:rPr>
        <w:t>P</w:t>
      </w:r>
      <w:r w:rsidRPr="00760FC9">
        <w:rPr>
          <w:sz w:val="22"/>
          <w:szCs w:val="22"/>
          <w:vertAlign w:val="subscript"/>
        </w:rPr>
        <w:t>3</w:t>
      </w:r>
      <w:r>
        <w:rPr>
          <w:sz w:val="22"/>
          <w:szCs w:val="22"/>
        </w:rPr>
        <w:t xml:space="preserve"> </w:t>
      </w:r>
      <w:r w:rsidR="0074104A">
        <w:rPr>
          <w:sz w:val="22"/>
          <w:szCs w:val="22"/>
        </w:rPr>
        <w:t>–</w:t>
      </w:r>
      <w:r>
        <w:rPr>
          <w:sz w:val="22"/>
          <w:szCs w:val="22"/>
        </w:rPr>
        <w:t xml:space="preserve"> C/(1 + z</w:t>
      </w:r>
      <w:r w:rsidRPr="00656EA6">
        <w:rPr>
          <w:sz w:val="22"/>
          <w:szCs w:val="22"/>
          <w:vertAlign w:val="subscript"/>
        </w:rPr>
        <w:t>1</w:t>
      </w:r>
      <w:r>
        <w:rPr>
          <w:sz w:val="22"/>
          <w:szCs w:val="22"/>
        </w:rPr>
        <w:t xml:space="preserve">) </w:t>
      </w:r>
      <w:r w:rsidR="0074104A">
        <w:rPr>
          <w:sz w:val="22"/>
          <w:szCs w:val="22"/>
        </w:rPr>
        <w:t>–</w:t>
      </w:r>
      <w:r>
        <w:rPr>
          <w:sz w:val="22"/>
          <w:szCs w:val="22"/>
        </w:rPr>
        <w:t xml:space="preserve"> C/(1 + z</w:t>
      </w:r>
      <w:r w:rsidRPr="00656EA6">
        <w:rPr>
          <w:sz w:val="22"/>
          <w:szCs w:val="22"/>
          <w:vertAlign w:val="subscript"/>
        </w:rPr>
        <w:t>2</w:t>
      </w:r>
      <w:r>
        <w:rPr>
          <w:sz w:val="22"/>
          <w:szCs w:val="22"/>
        </w:rPr>
        <w:t>)</w:t>
      </w:r>
      <w:r w:rsidRPr="00656EA6">
        <w:rPr>
          <w:sz w:val="22"/>
          <w:szCs w:val="22"/>
          <w:vertAlign w:val="superscript"/>
        </w:rPr>
        <w:t>2</w:t>
      </w:r>
      <w:r>
        <w:rPr>
          <w:sz w:val="22"/>
          <w:szCs w:val="22"/>
        </w:rPr>
        <w:t xml:space="preserve"> ]</w:t>
      </w:r>
      <w:r>
        <w:rPr>
          <w:sz w:val="22"/>
          <w:szCs w:val="22"/>
          <w:vertAlign w:val="superscript"/>
        </w:rPr>
        <w:t>1/3</w:t>
      </w:r>
      <w:r w:rsidRPr="00760FC9">
        <w:rPr>
          <w:sz w:val="22"/>
          <w:szCs w:val="22"/>
        </w:rPr>
        <w:t xml:space="preserve"> </w:t>
      </w:r>
      <w:r>
        <w:rPr>
          <w:sz w:val="22"/>
          <w:szCs w:val="22"/>
        </w:rPr>
        <w:t xml:space="preserve">– 1 </w:t>
      </w:r>
    </w:p>
    <w:p w:rsidR="0074104A" w:rsidRPr="0074104A" w:rsidRDefault="00760FC9" w:rsidP="00BD30C9">
      <w:pPr>
        <w:pStyle w:val="ListParagraph"/>
        <w:autoSpaceDE w:val="0"/>
        <w:autoSpaceDN w:val="0"/>
        <w:adjustRightInd w:val="0"/>
        <w:ind w:left="360"/>
        <w:rPr>
          <w:sz w:val="22"/>
          <w:szCs w:val="22"/>
        </w:rPr>
      </w:pPr>
      <w:r>
        <w:rPr>
          <w:b/>
          <w:sz w:val="22"/>
          <w:szCs w:val="22"/>
        </w:rPr>
        <w:tab/>
      </w:r>
      <w:r>
        <w:rPr>
          <w:sz w:val="22"/>
          <w:szCs w:val="22"/>
        </w:rPr>
        <w:t>z</w:t>
      </w:r>
      <w:r>
        <w:rPr>
          <w:sz w:val="22"/>
          <w:szCs w:val="22"/>
          <w:vertAlign w:val="subscript"/>
        </w:rPr>
        <w:t>1</w:t>
      </w:r>
      <w:r w:rsidRPr="00760FC9">
        <w:rPr>
          <w:sz w:val="22"/>
          <w:szCs w:val="22"/>
        </w:rPr>
        <w:t xml:space="preserve"> </w:t>
      </w:r>
      <w:r>
        <w:rPr>
          <w:sz w:val="22"/>
          <w:szCs w:val="22"/>
        </w:rPr>
        <w:t>= YTM</w:t>
      </w:r>
      <w:r w:rsidRPr="00760FC9">
        <w:rPr>
          <w:sz w:val="22"/>
          <w:szCs w:val="22"/>
          <w:vertAlign w:val="subscript"/>
        </w:rPr>
        <w:t>1</w:t>
      </w:r>
      <w:r>
        <w:rPr>
          <w:sz w:val="22"/>
          <w:szCs w:val="22"/>
        </w:rPr>
        <w:t xml:space="preserve">/2 = </w:t>
      </w:r>
      <w:r w:rsidR="0074104A">
        <w:rPr>
          <w:sz w:val="22"/>
          <w:szCs w:val="22"/>
        </w:rPr>
        <w:t>2</w:t>
      </w:r>
      <w:r>
        <w:rPr>
          <w:sz w:val="22"/>
          <w:szCs w:val="22"/>
        </w:rPr>
        <w:t>.00%/2 = 0.0</w:t>
      </w:r>
      <w:r w:rsidR="0074104A">
        <w:rPr>
          <w:sz w:val="22"/>
          <w:szCs w:val="22"/>
        </w:rPr>
        <w:t>1</w:t>
      </w:r>
      <w:r w:rsidR="00BD30C9">
        <w:rPr>
          <w:sz w:val="22"/>
          <w:szCs w:val="22"/>
        </w:rPr>
        <w:t xml:space="preserve">; </w:t>
      </w:r>
      <w:r>
        <w:rPr>
          <w:b/>
          <w:sz w:val="22"/>
          <w:szCs w:val="22"/>
        </w:rPr>
        <w:tab/>
      </w:r>
      <w:r>
        <w:rPr>
          <w:sz w:val="22"/>
          <w:szCs w:val="22"/>
        </w:rPr>
        <w:t>z</w:t>
      </w:r>
      <w:r>
        <w:rPr>
          <w:sz w:val="22"/>
          <w:szCs w:val="22"/>
          <w:vertAlign w:val="subscript"/>
        </w:rPr>
        <w:t>2</w:t>
      </w:r>
      <w:r w:rsidRPr="00760FC9">
        <w:rPr>
          <w:sz w:val="22"/>
          <w:szCs w:val="22"/>
        </w:rPr>
        <w:t xml:space="preserve"> </w:t>
      </w:r>
      <w:r>
        <w:rPr>
          <w:sz w:val="22"/>
          <w:szCs w:val="22"/>
        </w:rPr>
        <w:t>= YTM</w:t>
      </w:r>
      <w:r>
        <w:rPr>
          <w:sz w:val="22"/>
          <w:szCs w:val="22"/>
          <w:vertAlign w:val="subscript"/>
        </w:rPr>
        <w:t>2</w:t>
      </w:r>
      <w:r>
        <w:rPr>
          <w:sz w:val="22"/>
          <w:szCs w:val="22"/>
        </w:rPr>
        <w:t xml:space="preserve">/2 = </w:t>
      </w:r>
      <w:r w:rsidR="0074104A">
        <w:rPr>
          <w:sz w:val="22"/>
          <w:szCs w:val="22"/>
        </w:rPr>
        <w:t>2</w:t>
      </w:r>
      <w:r>
        <w:rPr>
          <w:sz w:val="22"/>
          <w:szCs w:val="22"/>
        </w:rPr>
        <w:t>.50%/2 = 0.0</w:t>
      </w:r>
      <w:r w:rsidR="0074104A">
        <w:rPr>
          <w:sz w:val="22"/>
          <w:szCs w:val="22"/>
        </w:rPr>
        <w:t>12</w:t>
      </w:r>
      <w:r w:rsidR="00BD30C9">
        <w:rPr>
          <w:sz w:val="22"/>
          <w:szCs w:val="22"/>
        </w:rPr>
        <w:t xml:space="preserve">5; </w:t>
      </w:r>
      <w:r w:rsidR="0074104A" w:rsidRPr="0074104A">
        <w:rPr>
          <w:sz w:val="22"/>
          <w:szCs w:val="22"/>
        </w:rPr>
        <w:t xml:space="preserve">C = </w:t>
      </w:r>
      <w:r w:rsidR="0074104A">
        <w:rPr>
          <w:sz w:val="22"/>
          <w:szCs w:val="22"/>
        </w:rPr>
        <w:t>1.50</w:t>
      </w:r>
      <w:r w:rsidR="00BD30C9">
        <w:rPr>
          <w:sz w:val="22"/>
          <w:szCs w:val="22"/>
        </w:rPr>
        <w:t xml:space="preserve">; </w:t>
      </w:r>
      <w:r w:rsidR="0074104A">
        <w:rPr>
          <w:sz w:val="22"/>
          <w:szCs w:val="22"/>
        </w:rPr>
        <w:t xml:space="preserve">M = 100 </w:t>
      </w:r>
    </w:p>
    <w:p w:rsidR="0074104A" w:rsidRDefault="00760FC9" w:rsidP="00760FC9">
      <w:pPr>
        <w:pStyle w:val="ListParagraph"/>
        <w:autoSpaceDE w:val="0"/>
        <w:autoSpaceDN w:val="0"/>
        <w:adjustRightInd w:val="0"/>
        <w:ind w:left="360" w:firstLine="360"/>
        <w:rPr>
          <w:sz w:val="22"/>
          <w:szCs w:val="22"/>
        </w:rPr>
      </w:pPr>
      <w:r>
        <w:rPr>
          <w:sz w:val="22"/>
          <w:szCs w:val="22"/>
        </w:rPr>
        <w:t>z</w:t>
      </w:r>
      <w:r w:rsidRPr="00760FC9">
        <w:rPr>
          <w:sz w:val="22"/>
          <w:szCs w:val="22"/>
          <w:vertAlign w:val="subscript"/>
        </w:rPr>
        <w:t>3</w:t>
      </w:r>
      <w:r w:rsidR="0074104A" w:rsidRPr="0074104A">
        <w:rPr>
          <w:sz w:val="22"/>
          <w:szCs w:val="22"/>
        </w:rPr>
        <w:t xml:space="preserve"> </w:t>
      </w:r>
      <w:r>
        <w:rPr>
          <w:sz w:val="22"/>
          <w:szCs w:val="22"/>
        </w:rPr>
        <w:t xml:space="preserve">= </w:t>
      </w:r>
      <w:r w:rsidR="0074104A">
        <w:rPr>
          <w:sz w:val="22"/>
          <w:szCs w:val="22"/>
        </w:rPr>
        <w:t>{</w:t>
      </w:r>
      <w:r>
        <w:rPr>
          <w:sz w:val="22"/>
          <w:szCs w:val="22"/>
        </w:rPr>
        <w:t>101</w:t>
      </w:r>
      <w:r w:rsidR="0074104A">
        <w:rPr>
          <w:sz w:val="22"/>
          <w:szCs w:val="22"/>
        </w:rPr>
        <w:t>.5</w:t>
      </w:r>
      <w:r>
        <w:rPr>
          <w:sz w:val="22"/>
          <w:szCs w:val="22"/>
        </w:rPr>
        <w:t>/</w:t>
      </w:r>
      <w:r w:rsidR="0074104A">
        <w:rPr>
          <w:sz w:val="22"/>
          <w:szCs w:val="22"/>
        </w:rPr>
        <w:t>[</w:t>
      </w:r>
      <w:r>
        <w:rPr>
          <w:sz w:val="22"/>
          <w:szCs w:val="22"/>
        </w:rPr>
        <w:t xml:space="preserve">100.07 </w:t>
      </w:r>
      <w:r w:rsidR="0074104A">
        <w:rPr>
          <w:sz w:val="22"/>
          <w:szCs w:val="22"/>
        </w:rPr>
        <w:t>–</w:t>
      </w:r>
      <w:r>
        <w:rPr>
          <w:sz w:val="22"/>
          <w:szCs w:val="22"/>
        </w:rPr>
        <w:t xml:space="preserve"> 1</w:t>
      </w:r>
      <w:r w:rsidR="0074104A">
        <w:rPr>
          <w:sz w:val="22"/>
          <w:szCs w:val="22"/>
        </w:rPr>
        <w:t>.50</w:t>
      </w:r>
      <w:r>
        <w:rPr>
          <w:sz w:val="22"/>
          <w:szCs w:val="22"/>
        </w:rPr>
        <w:t>/(1</w:t>
      </w:r>
      <w:r w:rsidR="0074104A">
        <w:rPr>
          <w:sz w:val="22"/>
          <w:szCs w:val="22"/>
        </w:rPr>
        <w:t>.01</w:t>
      </w:r>
      <w:r>
        <w:rPr>
          <w:sz w:val="22"/>
          <w:szCs w:val="22"/>
        </w:rPr>
        <w:t xml:space="preserve">) </w:t>
      </w:r>
      <w:r w:rsidR="0074104A">
        <w:rPr>
          <w:sz w:val="22"/>
          <w:szCs w:val="22"/>
        </w:rPr>
        <w:t>–</w:t>
      </w:r>
      <w:r>
        <w:rPr>
          <w:sz w:val="22"/>
          <w:szCs w:val="22"/>
        </w:rPr>
        <w:t xml:space="preserve"> </w:t>
      </w:r>
      <w:r w:rsidR="0074104A">
        <w:rPr>
          <w:sz w:val="22"/>
          <w:szCs w:val="22"/>
        </w:rPr>
        <w:t>1.50</w:t>
      </w:r>
      <w:r>
        <w:rPr>
          <w:sz w:val="22"/>
          <w:szCs w:val="22"/>
        </w:rPr>
        <w:t>/(1</w:t>
      </w:r>
      <w:r w:rsidR="0074104A">
        <w:rPr>
          <w:sz w:val="22"/>
          <w:szCs w:val="22"/>
        </w:rPr>
        <w:t>.0125</w:t>
      </w:r>
      <w:r>
        <w:rPr>
          <w:sz w:val="22"/>
          <w:szCs w:val="22"/>
        </w:rPr>
        <w:t>)</w:t>
      </w:r>
      <w:r w:rsidRPr="00656EA6">
        <w:rPr>
          <w:sz w:val="22"/>
          <w:szCs w:val="22"/>
          <w:vertAlign w:val="superscript"/>
        </w:rPr>
        <w:t>2</w:t>
      </w:r>
      <w:r w:rsidR="0074104A">
        <w:rPr>
          <w:sz w:val="22"/>
          <w:szCs w:val="22"/>
        </w:rPr>
        <w:t>]}</w:t>
      </w:r>
      <w:r>
        <w:rPr>
          <w:sz w:val="22"/>
          <w:szCs w:val="22"/>
          <w:vertAlign w:val="superscript"/>
        </w:rPr>
        <w:t>1/3</w:t>
      </w:r>
      <w:r w:rsidRPr="00760FC9">
        <w:rPr>
          <w:sz w:val="22"/>
          <w:szCs w:val="22"/>
        </w:rPr>
        <w:t xml:space="preserve"> </w:t>
      </w:r>
      <w:r>
        <w:rPr>
          <w:sz w:val="22"/>
          <w:szCs w:val="22"/>
        </w:rPr>
        <w:t xml:space="preserve">– 1 </w:t>
      </w:r>
    </w:p>
    <w:p w:rsidR="00760FC9" w:rsidRDefault="0074104A" w:rsidP="00760FC9">
      <w:pPr>
        <w:pStyle w:val="ListParagraph"/>
        <w:autoSpaceDE w:val="0"/>
        <w:autoSpaceDN w:val="0"/>
        <w:adjustRightInd w:val="0"/>
        <w:ind w:left="360" w:firstLine="360"/>
        <w:rPr>
          <w:sz w:val="22"/>
          <w:szCs w:val="22"/>
        </w:rPr>
      </w:pPr>
      <w:r>
        <w:rPr>
          <w:sz w:val="22"/>
          <w:szCs w:val="22"/>
        </w:rPr>
        <w:t>z</w:t>
      </w:r>
      <w:r w:rsidRPr="00760FC9">
        <w:rPr>
          <w:sz w:val="22"/>
          <w:szCs w:val="22"/>
          <w:vertAlign w:val="subscript"/>
        </w:rPr>
        <w:t>3</w:t>
      </w:r>
      <w:r w:rsidRPr="0074104A">
        <w:rPr>
          <w:sz w:val="22"/>
          <w:szCs w:val="22"/>
        </w:rPr>
        <w:t xml:space="preserve"> </w:t>
      </w:r>
      <w:r>
        <w:rPr>
          <w:sz w:val="22"/>
          <w:szCs w:val="22"/>
        </w:rPr>
        <w:t>= {101.5/[100.07 – 1.4851 – 1.4632]}</w:t>
      </w:r>
      <w:r>
        <w:rPr>
          <w:sz w:val="22"/>
          <w:szCs w:val="22"/>
          <w:vertAlign w:val="superscript"/>
        </w:rPr>
        <w:t>1/3</w:t>
      </w:r>
      <w:r w:rsidRPr="00760FC9">
        <w:rPr>
          <w:sz w:val="22"/>
          <w:szCs w:val="22"/>
        </w:rPr>
        <w:t xml:space="preserve"> </w:t>
      </w:r>
      <w:r>
        <w:rPr>
          <w:sz w:val="22"/>
          <w:szCs w:val="22"/>
        </w:rPr>
        <w:t>– 1</w:t>
      </w:r>
    </w:p>
    <w:p w:rsidR="0074104A" w:rsidRPr="00760FC9" w:rsidRDefault="0074104A" w:rsidP="0074104A">
      <w:pPr>
        <w:pStyle w:val="ListParagraph"/>
        <w:autoSpaceDE w:val="0"/>
        <w:autoSpaceDN w:val="0"/>
        <w:adjustRightInd w:val="0"/>
        <w:ind w:left="360" w:firstLine="360"/>
        <w:rPr>
          <w:b/>
          <w:sz w:val="22"/>
          <w:szCs w:val="22"/>
          <w:vertAlign w:val="subscript"/>
        </w:rPr>
      </w:pPr>
      <w:r>
        <w:rPr>
          <w:sz w:val="22"/>
          <w:szCs w:val="22"/>
        </w:rPr>
        <w:t>z</w:t>
      </w:r>
      <w:r w:rsidRPr="00760FC9">
        <w:rPr>
          <w:sz w:val="22"/>
          <w:szCs w:val="22"/>
          <w:vertAlign w:val="subscript"/>
        </w:rPr>
        <w:t>3</w:t>
      </w:r>
      <w:r w:rsidRPr="0074104A">
        <w:rPr>
          <w:sz w:val="22"/>
          <w:szCs w:val="22"/>
        </w:rPr>
        <w:t xml:space="preserve"> </w:t>
      </w:r>
      <w:r>
        <w:rPr>
          <w:sz w:val="22"/>
          <w:szCs w:val="22"/>
        </w:rPr>
        <w:t>= {101.5/[97.1217]}</w:t>
      </w:r>
      <w:r>
        <w:rPr>
          <w:sz w:val="22"/>
          <w:szCs w:val="22"/>
          <w:vertAlign w:val="superscript"/>
        </w:rPr>
        <w:t>1/3</w:t>
      </w:r>
      <w:r w:rsidRPr="00760FC9">
        <w:rPr>
          <w:sz w:val="22"/>
          <w:szCs w:val="22"/>
        </w:rPr>
        <w:t xml:space="preserve"> </w:t>
      </w:r>
      <w:r>
        <w:rPr>
          <w:sz w:val="22"/>
          <w:szCs w:val="22"/>
        </w:rPr>
        <w:t>– 1</w:t>
      </w:r>
    </w:p>
    <w:p w:rsidR="0074104A" w:rsidRPr="00760FC9" w:rsidRDefault="0074104A" w:rsidP="00760FC9">
      <w:pPr>
        <w:pStyle w:val="ListParagraph"/>
        <w:autoSpaceDE w:val="0"/>
        <w:autoSpaceDN w:val="0"/>
        <w:adjustRightInd w:val="0"/>
        <w:ind w:left="360" w:firstLine="360"/>
        <w:rPr>
          <w:b/>
          <w:sz w:val="22"/>
          <w:szCs w:val="22"/>
          <w:vertAlign w:val="subscript"/>
        </w:rPr>
      </w:pPr>
      <w:r>
        <w:rPr>
          <w:sz w:val="22"/>
          <w:szCs w:val="22"/>
        </w:rPr>
        <w:t>z</w:t>
      </w:r>
      <w:r w:rsidRPr="00760FC9">
        <w:rPr>
          <w:sz w:val="22"/>
          <w:szCs w:val="22"/>
          <w:vertAlign w:val="subscript"/>
        </w:rPr>
        <w:t>3</w:t>
      </w:r>
      <w:r w:rsidRPr="0074104A">
        <w:rPr>
          <w:sz w:val="22"/>
          <w:szCs w:val="22"/>
        </w:rPr>
        <w:t xml:space="preserve"> </w:t>
      </w:r>
      <w:r>
        <w:rPr>
          <w:sz w:val="22"/>
          <w:szCs w:val="22"/>
        </w:rPr>
        <w:t>= {101.5/[97.1217]}</w:t>
      </w:r>
      <w:r>
        <w:rPr>
          <w:sz w:val="22"/>
          <w:szCs w:val="22"/>
          <w:vertAlign w:val="superscript"/>
        </w:rPr>
        <w:t>1/3</w:t>
      </w:r>
      <w:r w:rsidRPr="00760FC9">
        <w:rPr>
          <w:sz w:val="22"/>
          <w:szCs w:val="22"/>
        </w:rPr>
        <w:t xml:space="preserve"> </w:t>
      </w:r>
      <w:r>
        <w:rPr>
          <w:sz w:val="22"/>
          <w:szCs w:val="22"/>
        </w:rPr>
        <w:t>– 1</w:t>
      </w:r>
    </w:p>
    <w:p w:rsidR="0074104A" w:rsidRPr="00760FC9" w:rsidRDefault="0074104A" w:rsidP="0074104A">
      <w:pPr>
        <w:pStyle w:val="ListParagraph"/>
        <w:autoSpaceDE w:val="0"/>
        <w:autoSpaceDN w:val="0"/>
        <w:adjustRightInd w:val="0"/>
        <w:ind w:left="360" w:firstLine="360"/>
        <w:rPr>
          <w:b/>
          <w:sz w:val="22"/>
          <w:szCs w:val="22"/>
          <w:vertAlign w:val="subscript"/>
        </w:rPr>
      </w:pPr>
      <w:r>
        <w:rPr>
          <w:sz w:val="22"/>
          <w:szCs w:val="22"/>
        </w:rPr>
        <w:t>z</w:t>
      </w:r>
      <w:r w:rsidRPr="00760FC9">
        <w:rPr>
          <w:sz w:val="22"/>
          <w:szCs w:val="22"/>
          <w:vertAlign w:val="subscript"/>
        </w:rPr>
        <w:t>3</w:t>
      </w:r>
      <w:r w:rsidRPr="0074104A">
        <w:rPr>
          <w:sz w:val="22"/>
          <w:szCs w:val="22"/>
        </w:rPr>
        <w:t xml:space="preserve"> </w:t>
      </w:r>
      <w:r>
        <w:rPr>
          <w:sz w:val="22"/>
          <w:szCs w:val="22"/>
        </w:rPr>
        <w:t>= {1.0451}</w:t>
      </w:r>
      <w:r>
        <w:rPr>
          <w:sz w:val="22"/>
          <w:szCs w:val="22"/>
          <w:vertAlign w:val="superscript"/>
        </w:rPr>
        <w:t>1/3</w:t>
      </w:r>
      <w:r w:rsidRPr="00760FC9">
        <w:rPr>
          <w:sz w:val="22"/>
          <w:szCs w:val="22"/>
        </w:rPr>
        <w:t xml:space="preserve"> </w:t>
      </w:r>
      <w:r>
        <w:rPr>
          <w:sz w:val="22"/>
          <w:szCs w:val="22"/>
        </w:rPr>
        <w:t>– 1</w:t>
      </w:r>
    </w:p>
    <w:p w:rsidR="00BD30C9" w:rsidRPr="00760FC9" w:rsidRDefault="00BD30C9" w:rsidP="00BD30C9">
      <w:pPr>
        <w:pStyle w:val="ListParagraph"/>
        <w:autoSpaceDE w:val="0"/>
        <w:autoSpaceDN w:val="0"/>
        <w:adjustRightInd w:val="0"/>
        <w:ind w:left="360" w:firstLine="360"/>
        <w:rPr>
          <w:b/>
          <w:sz w:val="22"/>
          <w:szCs w:val="22"/>
          <w:vertAlign w:val="subscript"/>
        </w:rPr>
      </w:pPr>
      <w:r>
        <w:rPr>
          <w:sz w:val="22"/>
          <w:szCs w:val="22"/>
        </w:rPr>
        <w:t>z</w:t>
      </w:r>
      <w:r w:rsidRPr="00760FC9">
        <w:rPr>
          <w:sz w:val="22"/>
          <w:szCs w:val="22"/>
          <w:vertAlign w:val="subscript"/>
        </w:rPr>
        <w:t>3</w:t>
      </w:r>
      <w:r w:rsidRPr="0074104A">
        <w:rPr>
          <w:sz w:val="22"/>
          <w:szCs w:val="22"/>
        </w:rPr>
        <w:t xml:space="preserve"> </w:t>
      </w:r>
      <w:r>
        <w:rPr>
          <w:sz w:val="22"/>
          <w:szCs w:val="22"/>
        </w:rPr>
        <w:t>= 1.0148</w:t>
      </w:r>
      <w:r w:rsidRPr="00760FC9">
        <w:rPr>
          <w:sz w:val="22"/>
          <w:szCs w:val="22"/>
        </w:rPr>
        <w:t xml:space="preserve"> </w:t>
      </w:r>
      <w:r>
        <w:rPr>
          <w:sz w:val="22"/>
          <w:szCs w:val="22"/>
        </w:rPr>
        <w:t>– 1</w:t>
      </w:r>
    </w:p>
    <w:p w:rsidR="00BD30C9" w:rsidRPr="00760FC9" w:rsidRDefault="00BD30C9" w:rsidP="00BD30C9">
      <w:pPr>
        <w:pStyle w:val="ListParagraph"/>
        <w:autoSpaceDE w:val="0"/>
        <w:autoSpaceDN w:val="0"/>
        <w:adjustRightInd w:val="0"/>
        <w:ind w:left="360" w:firstLine="360"/>
        <w:rPr>
          <w:b/>
          <w:sz w:val="22"/>
          <w:szCs w:val="22"/>
          <w:vertAlign w:val="subscript"/>
        </w:rPr>
      </w:pPr>
      <w:r>
        <w:rPr>
          <w:sz w:val="22"/>
          <w:szCs w:val="22"/>
        </w:rPr>
        <w:t>z</w:t>
      </w:r>
      <w:r w:rsidRPr="00760FC9">
        <w:rPr>
          <w:sz w:val="22"/>
          <w:szCs w:val="22"/>
          <w:vertAlign w:val="subscript"/>
        </w:rPr>
        <w:t>3</w:t>
      </w:r>
      <w:r w:rsidRPr="0074104A">
        <w:rPr>
          <w:sz w:val="22"/>
          <w:szCs w:val="22"/>
        </w:rPr>
        <w:t xml:space="preserve"> </w:t>
      </w:r>
      <w:r>
        <w:rPr>
          <w:sz w:val="22"/>
          <w:szCs w:val="22"/>
        </w:rPr>
        <w:t>= 0.0148</w:t>
      </w:r>
    </w:p>
    <w:p w:rsidR="00DB6F95" w:rsidRPr="00BD30C9" w:rsidRDefault="00BD30C9" w:rsidP="00BD30C9">
      <w:pPr>
        <w:pStyle w:val="ListParagraph"/>
        <w:autoSpaceDE w:val="0"/>
        <w:autoSpaceDN w:val="0"/>
        <w:adjustRightInd w:val="0"/>
        <w:ind w:left="360"/>
        <w:rPr>
          <w:sz w:val="22"/>
          <w:szCs w:val="22"/>
        </w:rPr>
      </w:pPr>
      <w:r w:rsidRPr="00BD30C9">
        <w:rPr>
          <w:sz w:val="22"/>
          <w:szCs w:val="22"/>
        </w:rPr>
        <w:tab/>
      </w:r>
      <w:r>
        <w:rPr>
          <w:sz w:val="22"/>
          <w:szCs w:val="22"/>
        </w:rPr>
        <w:t>The 1.5 year (3 period) theoretical spot rate is 2 x 0.0148</w:t>
      </w:r>
      <w:r w:rsidRPr="00BD30C9">
        <w:rPr>
          <w:sz w:val="22"/>
          <w:szCs w:val="22"/>
        </w:rPr>
        <w:t xml:space="preserve"> =</w:t>
      </w:r>
      <w:r>
        <w:rPr>
          <w:sz w:val="22"/>
          <w:szCs w:val="22"/>
        </w:rPr>
        <w:t xml:space="preserve"> 2.96%</w:t>
      </w:r>
    </w:p>
    <w:p w:rsidR="0074104A" w:rsidRPr="00BD30C9" w:rsidRDefault="0074104A" w:rsidP="00890622">
      <w:pPr>
        <w:pStyle w:val="ListParagraph"/>
        <w:autoSpaceDE w:val="0"/>
        <w:autoSpaceDN w:val="0"/>
        <w:adjustRightInd w:val="0"/>
        <w:ind w:left="360"/>
        <w:rPr>
          <w:b/>
          <w:sz w:val="22"/>
          <w:szCs w:val="22"/>
        </w:rPr>
      </w:pPr>
    </w:p>
    <w:p w:rsidR="00DF731E" w:rsidRPr="00811E5A" w:rsidRDefault="00DF731E" w:rsidP="00DF731E">
      <w:pPr>
        <w:pStyle w:val="ListParagraph"/>
        <w:numPr>
          <w:ilvl w:val="0"/>
          <w:numId w:val="25"/>
        </w:numPr>
        <w:autoSpaceDE w:val="0"/>
        <w:autoSpaceDN w:val="0"/>
        <w:adjustRightInd w:val="0"/>
        <w:rPr>
          <w:b/>
          <w:sz w:val="22"/>
          <w:szCs w:val="22"/>
        </w:rPr>
      </w:pPr>
      <w:r w:rsidRPr="00811E5A">
        <w:rPr>
          <w:b/>
          <w:sz w:val="22"/>
          <w:szCs w:val="22"/>
        </w:rPr>
        <w:t>The Table below shows tradable spot zero STRIPS rates. All rates are in BEY terms.</w:t>
      </w:r>
    </w:p>
    <w:p w:rsidR="00DF731E" w:rsidRPr="00811E5A" w:rsidRDefault="00DF731E" w:rsidP="00DF731E">
      <w:pPr>
        <w:rPr>
          <w:sz w:val="22"/>
          <w:szCs w:val="22"/>
        </w:rPr>
      </w:pPr>
    </w:p>
    <w:tbl>
      <w:tblPr>
        <w:tblW w:w="2883" w:type="dxa"/>
        <w:tblInd w:w="612" w:type="dxa"/>
        <w:tblLook w:val="04A0" w:firstRow="1" w:lastRow="0" w:firstColumn="1" w:lastColumn="0" w:noHBand="0" w:noVBand="1"/>
      </w:tblPr>
      <w:tblGrid>
        <w:gridCol w:w="960"/>
        <w:gridCol w:w="963"/>
        <w:gridCol w:w="987"/>
      </w:tblGrid>
      <w:tr w:rsidR="00DF731E" w:rsidRPr="00811E5A" w:rsidTr="00384F42">
        <w:trPr>
          <w:trHeight w:val="300"/>
        </w:trPr>
        <w:tc>
          <w:tcPr>
            <w:tcW w:w="960" w:type="dxa"/>
            <w:tcBorders>
              <w:top w:val="nil"/>
              <w:left w:val="nil"/>
              <w:bottom w:val="single" w:sz="4" w:space="0" w:color="auto"/>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Years</w:t>
            </w:r>
          </w:p>
        </w:tc>
        <w:tc>
          <w:tcPr>
            <w:tcW w:w="963" w:type="dxa"/>
            <w:tcBorders>
              <w:top w:val="nil"/>
              <w:left w:val="nil"/>
              <w:bottom w:val="single" w:sz="4" w:space="0" w:color="auto"/>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Periods</w:t>
            </w:r>
          </w:p>
        </w:tc>
        <w:tc>
          <w:tcPr>
            <w:tcW w:w="960" w:type="dxa"/>
            <w:tcBorders>
              <w:top w:val="nil"/>
              <w:left w:val="nil"/>
              <w:bottom w:val="single" w:sz="4" w:space="0" w:color="auto"/>
              <w:right w:val="nil"/>
            </w:tcBorders>
            <w:shd w:val="clear" w:color="auto" w:fill="auto"/>
            <w:noWrap/>
            <w:vAlign w:val="bottom"/>
            <w:hideMark/>
          </w:tcPr>
          <w:p w:rsidR="00DF731E" w:rsidRPr="00811E5A" w:rsidRDefault="00DF731E" w:rsidP="00384F42">
            <w:pPr>
              <w:rPr>
                <w:b/>
                <w:color w:val="000000"/>
                <w:sz w:val="22"/>
                <w:szCs w:val="22"/>
              </w:rPr>
            </w:pPr>
            <w:r w:rsidRPr="00811E5A">
              <w:rPr>
                <w:b/>
                <w:color w:val="000000"/>
                <w:sz w:val="22"/>
                <w:szCs w:val="22"/>
              </w:rPr>
              <w:t>STRIPS</w:t>
            </w:r>
          </w:p>
        </w:tc>
      </w:tr>
      <w:tr w:rsidR="00DF731E" w:rsidRPr="00811E5A" w:rsidTr="00384F42">
        <w:trPr>
          <w:trHeight w:val="56"/>
        </w:trPr>
        <w:tc>
          <w:tcPr>
            <w:tcW w:w="960" w:type="dxa"/>
            <w:tcBorders>
              <w:top w:val="nil"/>
              <w:left w:val="nil"/>
              <w:bottom w:val="nil"/>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0.5</w:t>
            </w:r>
          </w:p>
        </w:tc>
        <w:tc>
          <w:tcPr>
            <w:tcW w:w="963" w:type="dxa"/>
            <w:tcBorders>
              <w:top w:val="nil"/>
              <w:left w:val="nil"/>
              <w:bottom w:val="nil"/>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1</w:t>
            </w:r>
          </w:p>
        </w:tc>
        <w:tc>
          <w:tcPr>
            <w:tcW w:w="960" w:type="dxa"/>
            <w:tcBorders>
              <w:top w:val="nil"/>
              <w:left w:val="nil"/>
              <w:bottom w:val="nil"/>
              <w:right w:val="nil"/>
            </w:tcBorders>
            <w:shd w:val="clear" w:color="auto" w:fill="auto"/>
            <w:noWrap/>
            <w:vAlign w:val="bottom"/>
            <w:hideMark/>
          </w:tcPr>
          <w:p w:rsidR="00DF731E" w:rsidRPr="00811E5A" w:rsidRDefault="00DF731E" w:rsidP="00384F42">
            <w:pPr>
              <w:jc w:val="right"/>
              <w:rPr>
                <w:b/>
                <w:color w:val="000000"/>
                <w:sz w:val="22"/>
                <w:szCs w:val="22"/>
              </w:rPr>
            </w:pPr>
            <w:r w:rsidRPr="00811E5A">
              <w:rPr>
                <w:b/>
                <w:color w:val="000000"/>
                <w:sz w:val="22"/>
                <w:szCs w:val="22"/>
              </w:rPr>
              <w:t>1.00%</w:t>
            </w:r>
          </w:p>
        </w:tc>
      </w:tr>
      <w:tr w:rsidR="00DF731E" w:rsidRPr="00811E5A" w:rsidTr="00384F42">
        <w:trPr>
          <w:trHeight w:val="66"/>
        </w:trPr>
        <w:tc>
          <w:tcPr>
            <w:tcW w:w="960" w:type="dxa"/>
            <w:tcBorders>
              <w:top w:val="nil"/>
              <w:left w:val="nil"/>
              <w:bottom w:val="nil"/>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1</w:t>
            </w:r>
          </w:p>
        </w:tc>
        <w:tc>
          <w:tcPr>
            <w:tcW w:w="963" w:type="dxa"/>
            <w:tcBorders>
              <w:top w:val="nil"/>
              <w:left w:val="nil"/>
              <w:bottom w:val="nil"/>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2</w:t>
            </w:r>
          </w:p>
        </w:tc>
        <w:tc>
          <w:tcPr>
            <w:tcW w:w="960" w:type="dxa"/>
            <w:tcBorders>
              <w:top w:val="nil"/>
              <w:left w:val="nil"/>
              <w:bottom w:val="nil"/>
              <w:right w:val="nil"/>
            </w:tcBorders>
            <w:shd w:val="clear" w:color="auto" w:fill="auto"/>
            <w:noWrap/>
            <w:vAlign w:val="bottom"/>
            <w:hideMark/>
          </w:tcPr>
          <w:p w:rsidR="00DF731E" w:rsidRPr="00811E5A" w:rsidRDefault="00DF731E" w:rsidP="00384F42">
            <w:pPr>
              <w:jc w:val="right"/>
              <w:rPr>
                <w:b/>
                <w:color w:val="000000"/>
                <w:sz w:val="22"/>
                <w:szCs w:val="22"/>
              </w:rPr>
            </w:pPr>
            <w:r w:rsidRPr="00811E5A">
              <w:rPr>
                <w:b/>
                <w:color w:val="000000"/>
                <w:sz w:val="22"/>
                <w:szCs w:val="22"/>
              </w:rPr>
              <w:t>2.00%</w:t>
            </w:r>
          </w:p>
        </w:tc>
      </w:tr>
      <w:tr w:rsidR="00DF731E" w:rsidRPr="00811E5A" w:rsidTr="00384F42">
        <w:trPr>
          <w:trHeight w:val="66"/>
        </w:trPr>
        <w:tc>
          <w:tcPr>
            <w:tcW w:w="960" w:type="dxa"/>
            <w:tcBorders>
              <w:top w:val="nil"/>
              <w:left w:val="nil"/>
              <w:bottom w:val="nil"/>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1.5</w:t>
            </w:r>
          </w:p>
        </w:tc>
        <w:tc>
          <w:tcPr>
            <w:tcW w:w="963" w:type="dxa"/>
            <w:tcBorders>
              <w:top w:val="nil"/>
              <w:left w:val="nil"/>
              <w:bottom w:val="nil"/>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3</w:t>
            </w:r>
          </w:p>
        </w:tc>
        <w:tc>
          <w:tcPr>
            <w:tcW w:w="960" w:type="dxa"/>
            <w:tcBorders>
              <w:top w:val="nil"/>
              <w:left w:val="nil"/>
              <w:bottom w:val="nil"/>
              <w:right w:val="nil"/>
            </w:tcBorders>
            <w:shd w:val="clear" w:color="auto" w:fill="auto"/>
            <w:noWrap/>
            <w:vAlign w:val="bottom"/>
            <w:hideMark/>
          </w:tcPr>
          <w:p w:rsidR="00DF731E" w:rsidRPr="00811E5A" w:rsidRDefault="00DF731E" w:rsidP="00384F42">
            <w:pPr>
              <w:jc w:val="right"/>
              <w:rPr>
                <w:b/>
                <w:color w:val="000000"/>
                <w:sz w:val="22"/>
                <w:szCs w:val="22"/>
              </w:rPr>
            </w:pPr>
            <w:r w:rsidRPr="00811E5A">
              <w:rPr>
                <w:b/>
                <w:color w:val="000000"/>
                <w:sz w:val="22"/>
                <w:szCs w:val="22"/>
              </w:rPr>
              <w:t>3.00%</w:t>
            </w:r>
          </w:p>
        </w:tc>
      </w:tr>
      <w:tr w:rsidR="00DF731E" w:rsidRPr="00811E5A" w:rsidTr="00384F42">
        <w:trPr>
          <w:trHeight w:val="66"/>
        </w:trPr>
        <w:tc>
          <w:tcPr>
            <w:tcW w:w="960" w:type="dxa"/>
            <w:tcBorders>
              <w:top w:val="nil"/>
              <w:left w:val="nil"/>
              <w:bottom w:val="nil"/>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2</w:t>
            </w:r>
          </w:p>
        </w:tc>
        <w:tc>
          <w:tcPr>
            <w:tcW w:w="963" w:type="dxa"/>
            <w:tcBorders>
              <w:top w:val="nil"/>
              <w:left w:val="nil"/>
              <w:bottom w:val="nil"/>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4</w:t>
            </w:r>
          </w:p>
        </w:tc>
        <w:tc>
          <w:tcPr>
            <w:tcW w:w="960" w:type="dxa"/>
            <w:tcBorders>
              <w:top w:val="nil"/>
              <w:left w:val="nil"/>
              <w:bottom w:val="nil"/>
              <w:right w:val="nil"/>
            </w:tcBorders>
            <w:shd w:val="clear" w:color="auto" w:fill="auto"/>
            <w:noWrap/>
            <w:vAlign w:val="bottom"/>
            <w:hideMark/>
          </w:tcPr>
          <w:p w:rsidR="00DF731E" w:rsidRPr="00811E5A" w:rsidRDefault="00DF731E" w:rsidP="00384F42">
            <w:pPr>
              <w:jc w:val="right"/>
              <w:rPr>
                <w:b/>
                <w:color w:val="000000"/>
                <w:sz w:val="22"/>
                <w:szCs w:val="22"/>
              </w:rPr>
            </w:pPr>
            <w:r w:rsidRPr="00811E5A">
              <w:rPr>
                <w:b/>
                <w:color w:val="000000"/>
                <w:sz w:val="22"/>
                <w:szCs w:val="22"/>
              </w:rPr>
              <w:t>4.00%</w:t>
            </w:r>
          </w:p>
        </w:tc>
      </w:tr>
      <w:tr w:rsidR="00DF731E" w:rsidRPr="00811E5A" w:rsidTr="00384F42">
        <w:trPr>
          <w:trHeight w:val="66"/>
        </w:trPr>
        <w:tc>
          <w:tcPr>
            <w:tcW w:w="960" w:type="dxa"/>
            <w:tcBorders>
              <w:top w:val="nil"/>
              <w:left w:val="nil"/>
              <w:bottom w:val="nil"/>
              <w:right w:val="nil"/>
            </w:tcBorders>
            <w:shd w:val="clear" w:color="auto" w:fill="auto"/>
            <w:noWrap/>
            <w:vAlign w:val="bottom"/>
          </w:tcPr>
          <w:p w:rsidR="00DF731E" w:rsidRPr="00811E5A" w:rsidRDefault="00DF731E" w:rsidP="00384F42">
            <w:pPr>
              <w:jc w:val="center"/>
              <w:rPr>
                <w:b/>
                <w:color w:val="000000"/>
                <w:sz w:val="22"/>
                <w:szCs w:val="22"/>
              </w:rPr>
            </w:pPr>
            <w:r w:rsidRPr="00811E5A">
              <w:rPr>
                <w:b/>
                <w:color w:val="000000"/>
                <w:sz w:val="22"/>
                <w:szCs w:val="22"/>
              </w:rPr>
              <w:t>2.5</w:t>
            </w:r>
          </w:p>
        </w:tc>
        <w:tc>
          <w:tcPr>
            <w:tcW w:w="963" w:type="dxa"/>
            <w:tcBorders>
              <w:top w:val="nil"/>
              <w:left w:val="nil"/>
              <w:bottom w:val="nil"/>
              <w:right w:val="nil"/>
            </w:tcBorders>
            <w:shd w:val="clear" w:color="auto" w:fill="auto"/>
            <w:noWrap/>
            <w:vAlign w:val="bottom"/>
          </w:tcPr>
          <w:p w:rsidR="00DF731E" w:rsidRPr="00811E5A" w:rsidRDefault="00DF731E" w:rsidP="00384F42">
            <w:pPr>
              <w:jc w:val="center"/>
              <w:rPr>
                <w:b/>
                <w:color w:val="000000"/>
                <w:sz w:val="22"/>
                <w:szCs w:val="22"/>
              </w:rPr>
            </w:pPr>
            <w:r w:rsidRPr="00811E5A">
              <w:rPr>
                <w:b/>
                <w:color w:val="000000"/>
                <w:sz w:val="22"/>
                <w:szCs w:val="22"/>
              </w:rPr>
              <w:t>5</w:t>
            </w:r>
          </w:p>
        </w:tc>
        <w:tc>
          <w:tcPr>
            <w:tcW w:w="960" w:type="dxa"/>
            <w:tcBorders>
              <w:top w:val="nil"/>
              <w:left w:val="nil"/>
              <w:bottom w:val="nil"/>
              <w:right w:val="nil"/>
            </w:tcBorders>
            <w:shd w:val="clear" w:color="auto" w:fill="auto"/>
            <w:noWrap/>
            <w:vAlign w:val="bottom"/>
          </w:tcPr>
          <w:p w:rsidR="00DF731E" w:rsidRPr="00811E5A" w:rsidRDefault="00DF731E" w:rsidP="00384F42">
            <w:pPr>
              <w:jc w:val="right"/>
              <w:rPr>
                <w:b/>
                <w:color w:val="000000"/>
                <w:sz w:val="22"/>
                <w:szCs w:val="22"/>
              </w:rPr>
            </w:pPr>
            <w:r w:rsidRPr="00811E5A">
              <w:rPr>
                <w:b/>
                <w:color w:val="000000"/>
                <w:sz w:val="22"/>
                <w:szCs w:val="22"/>
              </w:rPr>
              <w:t>5.00%</w:t>
            </w:r>
          </w:p>
        </w:tc>
      </w:tr>
      <w:tr w:rsidR="00DF731E" w:rsidRPr="00811E5A" w:rsidTr="00384F42">
        <w:trPr>
          <w:trHeight w:val="66"/>
        </w:trPr>
        <w:tc>
          <w:tcPr>
            <w:tcW w:w="960" w:type="dxa"/>
            <w:tcBorders>
              <w:top w:val="nil"/>
              <w:left w:val="nil"/>
              <w:bottom w:val="nil"/>
              <w:right w:val="nil"/>
            </w:tcBorders>
            <w:shd w:val="clear" w:color="auto" w:fill="auto"/>
            <w:noWrap/>
            <w:vAlign w:val="bottom"/>
          </w:tcPr>
          <w:p w:rsidR="00DF731E" w:rsidRPr="00811E5A" w:rsidRDefault="00DF731E" w:rsidP="00384F42">
            <w:pPr>
              <w:jc w:val="center"/>
              <w:rPr>
                <w:b/>
                <w:sz w:val="22"/>
                <w:szCs w:val="22"/>
              </w:rPr>
            </w:pPr>
            <w:r w:rsidRPr="00811E5A">
              <w:rPr>
                <w:b/>
                <w:sz w:val="22"/>
                <w:szCs w:val="22"/>
              </w:rPr>
              <w:t>3</w:t>
            </w:r>
          </w:p>
        </w:tc>
        <w:tc>
          <w:tcPr>
            <w:tcW w:w="963" w:type="dxa"/>
            <w:tcBorders>
              <w:top w:val="nil"/>
              <w:left w:val="nil"/>
              <w:bottom w:val="nil"/>
              <w:right w:val="nil"/>
            </w:tcBorders>
            <w:shd w:val="clear" w:color="auto" w:fill="auto"/>
            <w:noWrap/>
            <w:vAlign w:val="bottom"/>
          </w:tcPr>
          <w:p w:rsidR="00DF731E" w:rsidRPr="00811E5A" w:rsidRDefault="00DF731E" w:rsidP="00384F42">
            <w:pPr>
              <w:jc w:val="center"/>
              <w:rPr>
                <w:b/>
                <w:sz w:val="22"/>
                <w:szCs w:val="22"/>
              </w:rPr>
            </w:pPr>
            <w:r w:rsidRPr="00811E5A">
              <w:rPr>
                <w:b/>
                <w:sz w:val="22"/>
                <w:szCs w:val="22"/>
              </w:rPr>
              <w:t>6</w:t>
            </w:r>
          </w:p>
        </w:tc>
        <w:tc>
          <w:tcPr>
            <w:tcW w:w="960" w:type="dxa"/>
            <w:tcBorders>
              <w:top w:val="nil"/>
              <w:left w:val="nil"/>
              <w:bottom w:val="nil"/>
              <w:right w:val="nil"/>
            </w:tcBorders>
            <w:shd w:val="clear" w:color="auto" w:fill="auto"/>
            <w:noWrap/>
            <w:vAlign w:val="bottom"/>
          </w:tcPr>
          <w:p w:rsidR="00DF731E" w:rsidRPr="00811E5A" w:rsidRDefault="00DF731E" w:rsidP="00384F42">
            <w:pPr>
              <w:jc w:val="right"/>
              <w:rPr>
                <w:b/>
                <w:sz w:val="22"/>
                <w:szCs w:val="22"/>
              </w:rPr>
            </w:pPr>
            <w:r w:rsidRPr="00811E5A">
              <w:rPr>
                <w:b/>
                <w:sz w:val="22"/>
                <w:szCs w:val="22"/>
              </w:rPr>
              <w:t>6.00%</w:t>
            </w:r>
          </w:p>
        </w:tc>
      </w:tr>
    </w:tbl>
    <w:p w:rsidR="00DF731E" w:rsidRPr="00811E5A" w:rsidRDefault="00DF731E" w:rsidP="00DF731E">
      <w:pPr>
        <w:ind w:left="720" w:hanging="360"/>
        <w:rPr>
          <w:b/>
          <w:sz w:val="22"/>
          <w:szCs w:val="22"/>
        </w:rPr>
      </w:pPr>
    </w:p>
    <w:p w:rsidR="00DF731E" w:rsidRPr="00811E5A" w:rsidRDefault="00DF731E" w:rsidP="00DF731E">
      <w:pPr>
        <w:pStyle w:val="ListParagraph"/>
        <w:numPr>
          <w:ilvl w:val="0"/>
          <w:numId w:val="23"/>
        </w:numPr>
        <w:rPr>
          <w:b/>
          <w:sz w:val="22"/>
          <w:szCs w:val="22"/>
        </w:rPr>
      </w:pPr>
      <w:r w:rsidRPr="00811E5A">
        <w:rPr>
          <w:b/>
          <w:sz w:val="22"/>
          <w:szCs w:val="22"/>
        </w:rPr>
        <w:t xml:space="preserve">Compute the rate can you lock in today for a forward loan </w:t>
      </w:r>
      <w:r>
        <w:rPr>
          <w:b/>
          <w:sz w:val="22"/>
          <w:szCs w:val="22"/>
        </w:rPr>
        <w:t xml:space="preserve">starting </w:t>
      </w:r>
      <w:r w:rsidRPr="00811E5A">
        <w:rPr>
          <w:b/>
          <w:sz w:val="22"/>
          <w:szCs w:val="22"/>
        </w:rPr>
        <w:t xml:space="preserve">in one year for </w:t>
      </w:r>
      <w:r>
        <w:rPr>
          <w:b/>
          <w:sz w:val="22"/>
          <w:szCs w:val="22"/>
        </w:rPr>
        <w:t xml:space="preserve">and lasting  </w:t>
      </w:r>
      <w:r w:rsidRPr="00811E5A">
        <w:rPr>
          <w:b/>
          <w:sz w:val="22"/>
          <w:szCs w:val="22"/>
        </w:rPr>
        <w:t>one year.</w:t>
      </w:r>
    </w:p>
    <w:p w:rsidR="00DF731E" w:rsidRPr="00811E5A" w:rsidRDefault="00DF731E" w:rsidP="00DF731E">
      <w:pPr>
        <w:ind w:left="720" w:hanging="360"/>
        <w:rPr>
          <w:sz w:val="22"/>
          <w:szCs w:val="22"/>
        </w:rPr>
      </w:pPr>
    </w:p>
    <w:p w:rsidR="00DF731E" w:rsidRPr="00811E5A" w:rsidRDefault="00DF731E" w:rsidP="00DF731E">
      <w:pPr>
        <w:ind w:left="270"/>
        <w:rPr>
          <w:sz w:val="22"/>
          <w:szCs w:val="22"/>
        </w:rPr>
      </w:pPr>
      <w:r w:rsidRPr="00811E5A">
        <w:rPr>
          <w:sz w:val="22"/>
          <w:szCs w:val="22"/>
        </w:rPr>
        <w:t>Borrowing in one year for one year means borrowing starting at time 2 and ending at time 4.</w:t>
      </w:r>
    </w:p>
    <w:p w:rsidR="00DF731E" w:rsidRPr="00811E5A" w:rsidRDefault="00DF731E" w:rsidP="00DF731E">
      <w:pPr>
        <w:ind w:left="270"/>
        <w:rPr>
          <w:sz w:val="22"/>
          <w:szCs w:val="22"/>
        </w:rPr>
      </w:pPr>
      <w:r w:rsidRPr="00811E5A">
        <w:rPr>
          <w:sz w:val="22"/>
          <w:szCs w:val="22"/>
        </w:rPr>
        <w:t xml:space="preserve">A =2 and B = 4 so we need to compute </w:t>
      </w:r>
      <w:r w:rsidRPr="00811E5A">
        <w:rPr>
          <w:i/>
          <w:sz w:val="22"/>
          <w:szCs w:val="22"/>
        </w:rPr>
        <w:t>f</w:t>
      </w:r>
      <w:r w:rsidRPr="00811E5A">
        <w:rPr>
          <w:sz w:val="22"/>
          <w:szCs w:val="22"/>
          <w:vertAlign w:val="subscript"/>
        </w:rPr>
        <w:t>2,4</w:t>
      </w:r>
      <w:r w:rsidRPr="00811E5A">
        <w:rPr>
          <w:sz w:val="22"/>
          <w:szCs w:val="22"/>
        </w:rPr>
        <w:t xml:space="preserve">. </w:t>
      </w:r>
    </w:p>
    <w:p w:rsidR="00DF731E" w:rsidRPr="00811E5A" w:rsidRDefault="00DF731E" w:rsidP="00DF731E">
      <w:pPr>
        <w:ind w:firstLine="270"/>
        <w:rPr>
          <w:i/>
          <w:sz w:val="22"/>
          <w:szCs w:val="22"/>
        </w:rPr>
      </w:pPr>
    </w:p>
    <w:p w:rsidR="00DF731E" w:rsidRPr="00811E5A" w:rsidRDefault="00DF731E" w:rsidP="00DF731E">
      <w:pPr>
        <w:ind w:firstLine="270"/>
        <w:rPr>
          <w:sz w:val="22"/>
          <w:szCs w:val="22"/>
        </w:rPr>
      </w:pPr>
      <w:r w:rsidRPr="00811E5A">
        <w:rPr>
          <w:i/>
          <w:sz w:val="22"/>
          <w:szCs w:val="22"/>
        </w:rPr>
        <w:t>f</w:t>
      </w:r>
      <w:r w:rsidRPr="00811E5A">
        <w:rPr>
          <w:i/>
          <w:sz w:val="22"/>
          <w:szCs w:val="22"/>
          <w:vertAlign w:val="subscript"/>
        </w:rPr>
        <w:t>A,B</w:t>
      </w:r>
      <w:r w:rsidRPr="00811E5A">
        <w:rPr>
          <w:sz w:val="22"/>
          <w:szCs w:val="22"/>
        </w:rPr>
        <w:t xml:space="preserve"> = [(1 + z</w:t>
      </w:r>
      <w:r w:rsidRPr="00811E5A">
        <w:rPr>
          <w:sz w:val="22"/>
          <w:szCs w:val="22"/>
          <w:vertAlign w:val="subscript"/>
        </w:rPr>
        <w:t>B</w:t>
      </w:r>
      <w:r w:rsidRPr="00811E5A">
        <w:rPr>
          <w:sz w:val="22"/>
          <w:szCs w:val="22"/>
        </w:rPr>
        <w:t>)</w:t>
      </w:r>
      <w:r w:rsidRPr="00811E5A">
        <w:rPr>
          <w:sz w:val="22"/>
          <w:szCs w:val="22"/>
          <w:vertAlign w:val="superscript"/>
        </w:rPr>
        <w:t>B</w:t>
      </w:r>
      <w:r w:rsidRPr="00811E5A">
        <w:rPr>
          <w:sz w:val="22"/>
          <w:szCs w:val="22"/>
        </w:rPr>
        <w:t>/(1 + z</w:t>
      </w:r>
      <w:r w:rsidRPr="00811E5A">
        <w:rPr>
          <w:sz w:val="22"/>
          <w:szCs w:val="22"/>
          <w:vertAlign w:val="subscript"/>
        </w:rPr>
        <w:t>A</w:t>
      </w:r>
      <w:r w:rsidRPr="00811E5A">
        <w:rPr>
          <w:sz w:val="22"/>
          <w:szCs w:val="22"/>
        </w:rPr>
        <w:t>)</w:t>
      </w:r>
      <w:r w:rsidRPr="00811E5A">
        <w:rPr>
          <w:sz w:val="22"/>
          <w:szCs w:val="22"/>
          <w:vertAlign w:val="superscript"/>
        </w:rPr>
        <w:t>A</w:t>
      </w:r>
      <w:r w:rsidRPr="00811E5A">
        <w:rPr>
          <w:sz w:val="22"/>
          <w:szCs w:val="22"/>
        </w:rPr>
        <w:t>]</w:t>
      </w:r>
      <w:r w:rsidRPr="00811E5A">
        <w:rPr>
          <w:sz w:val="22"/>
          <w:szCs w:val="22"/>
          <w:vertAlign w:val="superscript"/>
        </w:rPr>
        <w:t>1/(B – A)</w:t>
      </w:r>
      <w:r w:rsidRPr="00811E5A">
        <w:rPr>
          <w:sz w:val="22"/>
          <w:szCs w:val="22"/>
        </w:rPr>
        <w:t xml:space="preserve"> – 1 </w:t>
      </w:r>
    </w:p>
    <w:p w:rsidR="00DF731E" w:rsidRPr="00811E5A" w:rsidRDefault="00DF731E" w:rsidP="00DF731E">
      <w:pPr>
        <w:ind w:left="270"/>
        <w:rPr>
          <w:sz w:val="22"/>
          <w:szCs w:val="22"/>
        </w:rPr>
      </w:pPr>
      <w:r w:rsidRPr="00811E5A">
        <w:rPr>
          <w:i/>
          <w:sz w:val="22"/>
          <w:szCs w:val="22"/>
        </w:rPr>
        <w:t>f</w:t>
      </w:r>
      <w:r w:rsidRPr="00811E5A">
        <w:rPr>
          <w:i/>
          <w:sz w:val="22"/>
          <w:szCs w:val="22"/>
          <w:vertAlign w:val="subscript"/>
        </w:rPr>
        <w:t>2,4</w:t>
      </w:r>
      <w:r w:rsidRPr="00811E5A">
        <w:rPr>
          <w:sz w:val="22"/>
          <w:szCs w:val="22"/>
        </w:rPr>
        <w:t xml:space="preserve"> = [(1 + 0.04/2)</w:t>
      </w:r>
      <w:r w:rsidRPr="00811E5A">
        <w:rPr>
          <w:sz w:val="22"/>
          <w:szCs w:val="22"/>
          <w:vertAlign w:val="superscript"/>
        </w:rPr>
        <w:t>4</w:t>
      </w:r>
      <w:r w:rsidRPr="00811E5A">
        <w:rPr>
          <w:sz w:val="22"/>
          <w:szCs w:val="22"/>
        </w:rPr>
        <w:t>/(1 + 0.02/2)</w:t>
      </w:r>
      <w:r w:rsidRPr="00811E5A">
        <w:rPr>
          <w:sz w:val="22"/>
          <w:szCs w:val="22"/>
          <w:vertAlign w:val="superscript"/>
        </w:rPr>
        <w:t>2</w:t>
      </w:r>
      <w:r w:rsidRPr="00811E5A">
        <w:rPr>
          <w:sz w:val="22"/>
          <w:szCs w:val="22"/>
        </w:rPr>
        <w:t>]</w:t>
      </w:r>
      <w:r w:rsidRPr="00811E5A">
        <w:rPr>
          <w:sz w:val="22"/>
          <w:szCs w:val="22"/>
          <w:vertAlign w:val="superscript"/>
        </w:rPr>
        <w:t>1/(4 – 2)</w:t>
      </w:r>
      <w:r w:rsidRPr="00811E5A">
        <w:rPr>
          <w:sz w:val="22"/>
          <w:szCs w:val="22"/>
        </w:rPr>
        <w:t xml:space="preserve"> – 1 = [1.02</w:t>
      </w:r>
      <w:r w:rsidRPr="00811E5A">
        <w:rPr>
          <w:sz w:val="22"/>
          <w:szCs w:val="22"/>
          <w:vertAlign w:val="superscript"/>
        </w:rPr>
        <w:t>4</w:t>
      </w:r>
      <w:r w:rsidRPr="00811E5A">
        <w:rPr>
          <w:sz w:val="22"/>
          <w:szCs w:val="22"/>
        </w:rPr>
        <w:t>/1.01</w:t>
      </w:r>
      <w:r w:rsidRPr="00811E5A">
        <w:rPr>
          <w:sz w:val="22"/>
          <w:szCs w:val="22"/>
          <w:vertAlign w:val="superscript"/>
        </w:rPr>
        <w:t>2</w:t>
      </w:r>
      <w:r w:rsidRPr="00811E5A">
        <w:rPr>
          <w:sz w:val="22"/>
          <w:szCs w:val="22"/>
        </w:rPr>
        <w:t>]</w:t>
      </w:r>
      <w:r w:rsidRPr="00811E5A">
        <w:rPr>
          <w:sz w:val="22"/>
          <w:szCs w:val="22"/>
          <w:vertAlign w:val="superscript"/>
        </w:rPr>
        <w:t>1/2</w:t>
      </w:r>
      <w:r w:rsidRPr="00811E5A">
        <w:rPr>
          <w:sz w:val="22"/>
          <w:szCs w:val="22"/>
        </w:rPr>
        <w:t xml:space="preserve"> – 1 = (1.0824/1.0201)</w:t>
      </w:r>
      <w:r w:rsidRPr="00811E5A">
        <w:rPr>
          <w:sz w:val="22"/>
          <w:szCs w:val="22"/>
          <w:vertAlign w:val="superscript"/>
        </w:rPr>
        <w:t>1/2</w:t>
      </w:r>
      <w:r w:rsidRPr="00811E5A">
        <w:rPr>
          <w:sz w:val="22"/>
          <w:szCs w:val="22"/>
        </w:rPr>
        <w:t xml:space="preserve"> – 1 </w:t>
      </w:r>
    </w:p>
    <w:p w:rsidR="00DF731E" w:rsidRPr="00811E5A" w:rsidRDefault="00DF731E" w:rsidP="00DF731E">
      <w:pPr>
        <w:ind w:left="270"/>
        <w:rPr>
          <w:sz w:val="22"/>
          <w:szCs w:val="22"/>
        </w:rPr>
      </w:pPr>
      <w:r w:rsidRPr="00811E5A">
        <w:rPr>
          <w:i/>
          <w:sz w:val="22"/>
          <w:szCs w:val="22"/>
        </w:rPr>
        <w:t xml:space="preserve">      </w:t>
      </w:r>
      <w:r w:rsidRPr="00811E5A">
        <w:rPr>
          <w:sz w:val="22"/>
          <w:szCs w:val="22"/>
        </w:rPr>
        <w:t>= 1.0611</w:t>
      </w:r>
      <w:r w:rsidRPr="00811E5A">
        <w:rPr>
          <w:sz w:val="22"/>
          <w:szCs w:val="22"/>
          <w:vertAlign w:val="superscript"/>
        </w:rPr>
        <w:t>1/2</w:t>
      </w:r>
      <w:r w:rsidRPr="00811E5A">
        <w:rPr>
          <w:sz w:val="22"/>
          <w:szCs w:val="22"/>
        </w:rPr>
        <w:t xml:space="preserve"> – 1 = 1.0301 – 1 = 0.0301</w:t>
      </w:r>
    </w:p>
    <w:p w:rsidR="00DF731E" w:rsidRPr="00811E5A" w:rsidRDefault="00DF731E" w:rsidP="00DF731E">
      <w:pPr>
        <w:ind w:left="270"/>
        <w:rPr>
          <w:sz w:val="22"/>
          <w:szCs w:val="22"/>
        </w:rPr>
      </w:pPr>
      <w:r w:rsidRPr="00811E5A">
        <w:rPr>
          <w:sz w:val="22"/>
          <w:szCs w:val="22"/>
        </w:rPr>
        <w:t>0.0301 × 2 = 6.02%</w:t>
      </w:r>
    </w:p>
    <w:p w:rsidR="00DF731E" w:rsidRPr="00811E5A" w:rsidRDefault="00DF731E" w:rsidP="00DF731E">
      <w:pPr>
        <w:ind w:left="270"/>
        <w:rPr>
          <w:sz w:val="22"/>
          <w:szCs w:val="22"/>
        </w:rPr>
      </w:pPr>
    </w:p>
    <w:p w:rsidR="00DF731E" w:rsidRDefault="00DF731E" w:rsidP="00DF731E">
      <w:pPr>
        <w:ind w:left="270"/>
        <w:rPr>
          <w:sz w:val="22"/>
          <w:szCs w:val="22"/>
        </w:rPr>
      </w:pPr>
      <w:r w:rsidRPr="00811E5A">
        <w:rPr>
          <w:sz w:val="22"/>
          <w:szCs w:val="22"/>
        </w:rPr>
        <w:t>This is the implied forward rate “in 1 year for 1 year” or “starting in 1 year and ending in 2 years.”</w:t>
      </w:r>
    </w:p>
    <w:p w:rsidR="00DF731E" w:rsidRDefault="00DF731E" w:rsidP="00DF731E">
      <w:pPr>
        <w:ind w:left="270"/>
        <w:rPr>
          <w:sz w:val="22"/>
          <w:szCs w:val="22"/>
        </w:rPr>
      </w:pPr>
    </w:p>
    <w:p w:rsidR="00DF731E" w:rsidRDefault="00DF731E" w:rsidP="00DF731E">
      <w:pPr>
        <w:ind w:left="270"/>
        <w:rPr>
          <w:sz w:val="22"/>
          <w:szCs w:val="22"/>
        </w:rPr>
      </w:pPr>
      <w:r>
        <w:rPr>
          <w:sz w:val="22"/>
          <w:szCs w:val="22"/>
        </w:rPr>
        <w:t>Note that this satisfies the equation:</w:t>
      </w:r>
    </w:p>
    <w:p w:rsidR="00DF731E" w:rsidRPr="00625D72" w:rsidRDefault="00DF731E" w:rsidP="00DF731E">
      <w:pPr>
        <w:ind w:left="270"/>
        <w:rPr>
          <w:sz w:val="20"/>
          <w:szCs w:val="22"/>
        </w:rPr>
      </w:pPr>
    </w:p>
    <w:p w:rsidR="00DF731E" w:rsidRPr="00625D72" w:rsidRDefault="00DF731E" w:rsidP="00DF731E">
      <w:pPr>
        <w:ind w:left="270"/>
        <w:rPr>
          <w:sz w:val="22"/>
        </w:rPr>
      </w:pPr>
      <w:r w:rsidRPr="00625D72">
        <w:rPr>
          <w:sz w:val="22"/>
        </w:rPr>
        <w:t>(1 + z</w:t>
      </w:r>
      <w:r w:rsidRPr="00625D72">
        <w:rPr>
          <w:sz w:val="22"/>
          <w:vertAlign w:val="subscript"/>
        </w:rPr>
        <w:t>A</w:t>
      </w:r>
      <w:r w:rsidRPr="00625D72">
        <w:rPr>
          <w:sz w:val="22"/>
        </w:rPr>
        <w:t>)</w:t>
      </w:r>
      <w:r w:rsidRPr="00625D72">
        <w:rPr>
          <w:sz w:val="22"/>
          <w:vertAlign w:val="superscript"/>
        </w:rPr>
        <w:t>A</w:t>
      </w:r>
      <w:r w:rsidRPr="00625D72">
        <w:rPr>
          <w:sz w:val="22"/>
        </w:rPr>
        <w:t xml:space="preserve">(1 + </w:t>
      </w:r>
      <w:r w:rsidRPr="00625D72">
        <w:rPr>
          <w:i/>
          <w:sz w:val="22"/>
        </w:rPr>
        <w:t>f</w:t>
      </w:r>
      <w:r w:rsidRPr="00625D72">
        <w:rPr>
          <w:i/>
          <w:sz w:val="22"/>
          <w:vertAlign w:val="subscript"/>
        </w:rPr>
        <w:t>A,B</w:t>
      </w:r>
      <w:r w:rsidRPr="00625D72">
        <w:rPr>
          <w:sz w:val="22"/>
        </w:rPr>
        <w:t>)</w:t>
      </w:r>
      <w:r w:rsidRPr="00625D72">
        <w:rPr>
          <w:sz w:val="22"/>
          <w:vertAlign w:val="superscript"/>
        </w:rPr>
        <w:t>(B – A)</w:t>
      </w:r>
      <w:r w:rsidRPr="00625D72">
        <w:rPr>
          <w:sz w:val="22"/>
        </w:rPr>
        <w:t xml:space="preserve"> = (1 + z</w:t>
      </w:r>
      <w:r w:rsidRPr="00625D72">
        <w:rPr>
          <w:sz w:val="22"/>
          <w:vertAlign w:val="subscript"/>
        </w:rPr>
        <w:t>B</w:t>
      </w:r>
      <w:r w:rsidRPr="00625D72">
        <w:rPr>
          <w:sz w:val="22"/>
        </w:rPr>
        <w:t>)</w:t>
      </w:r>
      <w:r w:rsidRPr="00625D72">
        <w:rPr>
          <w:sz w:val="22"/>
          <w:vertAlign w:val="superscript"/>
        </w:rPr>
        <w:t xml:space="preserve">B </w:t>
      </w:r>
      <w:r w:rsidRPr="00625D72">
        <w:rPr>
          <w:sz w:val="22"/>
        </w:rPr>
        <w:t xml:space="preserve"> = (1 + </w:t>
      </w:r>
      <w:r w:rsidRPr="00625D72">
        <w:rPr>
          <w:b/>
          <w:sz w:val="22"/>
        </w:rPr>
        <w:t>0.02</w:t>
      </w:r>
      <w:r w:rsidRPr="00625D72">
        <w:rPr>
          <w:sz w:val="22"/>
        </w:rPr>
        <w:t>/2)</w:t>
      </w:r>
      <w:r w:rsidRPr="00625D72">
        <w:rPr>
          <w:sz w:val="22"/>
          <w:vertAlign w:val="superscript"/>
        </w:rPr>
        <w:t>2</w:t>
      </w:r>
      <w:r w:rsidRPr="00625D72">
        <w:rPr>
          <w:sz w:val="22"/>
        </w:rPr>
        <w:t xml:space="preserve">(1 + </w:t>
      </w:r>
      <w:r w:rsidRPr="00625D72">
        <w:rPr>
          <w:b/>
          <w:sz w:val="22"/>
        </w:rPr>
        <w:t>0.0602</w:t>
      </w:r>
      <w:r w:rsidRPr="00625D72">
        <w:rPr>
          <w:sz w:val="22"/>
        </w:rPr>
        <w:t>/2)</w:t>
      </w:r>
      <w:r w:rsidRPr="00625D72">
        <w:rPr>
          <w:sz w:val="22"/>
          <w:vertAlign w:val="superscript"/>
        </w:rPr>
        <w:t>2</w:t>
      </w:r>
      <w:r w:rsidRPr="00625D72">
        <w:rPr>
          <w:sz w:val="22"/>
        </w:rPr>
        <w:t xml:space="preserve"> = (1 + </w:t>
      </w:r>
      <w:r w:rsidRPr="00625D72">
        <w:rPr>
          <w:b/>
          <w:sz w:val="22"/>
        </w:rPr>
        <w:t>0.04</w:t>
      </w:r>
      <w:r w:rsidRPr="00625D72">
        <w:rPr>
          <w:sz w:val="22"/>
        </w:rPr>
        <w:t>/2)</w:t>
      </w:r>
      <w:r w:rsidRPr="00625D72">
        <w:rPr>
          <w:sz w:val="22"/>
          <w:vertAlign w:val="superscript"/>
        </w:rPr>
        <w:t>4</w:t>
      </w:r>
    </w:p>
    <w:p w:rsidR="00DF731E" w:rsidRPr="00625D72" w:rsidRDefault="00DF731E" w:rsidP="00DF731E">
      <w:pPr>
        <w:ind w:left="270"/>
        <w:rPr>
          <w:sz w:val="20"/>
          <w:szCs w:val="22"/>
        </w:rPr>
      </w:pPr>
    </w:p>
    <w:p w:rsidR="00DF731E" w:rsidRPr="00811E5A" w:rsidRDefault="00DF731E" w:rsidP="00DF731E">
      <w:pPr>
        <w:pStyle w:val="ListParagraph"/>
        <w:ind w:left="360"/>
        <w:rPr>
          <w:b/>
          <w:sz w:val="22"/>
          <w:szCs w:val="22"/>
        </w:rPr>
      </w:pPr>
    </w:p>
    <w:p w:rsidR="00DF731E" w:rsidRPr="00811E5A" w:rsidRDefault="00DF731E" w:rsidP="00DF731E">
      <w:pPr>
        <w:numPr>
          <w:ilvl w:val="0"/>
          <w:numId w:val="23"/>
        </w:numPr>
        <w:rPr>
          <w:b/>
          <w:sz w:val="22"/>
          <w:szCs w:val="22"/>
        </w:rPr>
      </w:pPr>
      <w:r w:rsidRPr="00811E5A">
        <w:rPr>
          <w:b/>
          <w:sz w:val="22"/>
          <w:szCs w:val="22"/>
        </w:rPr>
        <w:t>Compare your answer in part (a) to the one-year spot zero rate. Is it higher or lower?</w:t>
      </w:r>
    </w:p>
    <w:p w:rsidR="00DF731E" w:rsidRPr="00FF6B8D" w:rsidRDefault="00DF731E" w:rsidP="00DF731E">
      <w:pPr>
        <w:ind w:left="360"/>
        <w:rPr>
          <w:b/>
          <w:sz w:val="22"/>
          <w:szCs w:val="22"/>
        </w:rPr>
      </w:pPr>
    </w:p>
    <w:p w:rsidR="00DF731E" w:rsidRDefault="00DF731E" w:rsidP="00DF731E">
      <w:pPr>
        <w:ind w:firstLine="360"/>
        <w:rPr>
          <w:sz w:val="22"/>
          <w:szCs w:val="22"/>
        </w:rPr>
      </w:pPr>
      <w:r w:rsidRPr="00FF6B8D">
        <w:rPr>
          <w:sz w:val="22"/>
          <w:szCs w:val="22"/>
        </w:rPr>
        <w:t xml:space="preserve">Spot zero one-year rate is 2.00%. </w:t>
      </w:r>
    </w:p>
    <w:p w:rsidR="00DF731E" w:rsidRDefault="00DF731E" w:rsidP="00DF731E">
      <w:pPr>
        <w:ind w:firstLine="360"/>
        <w:rPr>
          <w:sz w:val="22"/>
          <w:szCs w:val="22"/>
        </w:rPr>
      </w:pPr>
      <w:r>
        <w:rPr>
          <w:sz w:val="22"/>
          <w:szCs w:val="22"/>
        </w:rPr>
        <w:t>One-year forward one-year rate is 6.02%</w:t>
      </w:r>
    </w:p>
    <w:p w:rsidR="00DF731E" w:rsidRPr="00FF6B8D" w:rsidRDefault="00DF731E" w:rsidP="00DF731E">
      <w:pPr>
        <w:ind w:firstLine="360"/>
        <w:rPr>
          <w:sz w:val="22"/>
          <w:szCs w:val="22"/>
        </w:rPr>
      </w:pPr>
      <w:r>
        <w:rPr>
          <w:sz w:val="22"/>
          <w:szCs w:val="22"/>
        </w:rPr>
        <w:t>The</w:t>
      </w:r>
      <w:r w:rsidRPr="00FF6B8D">
        <w:rPr>
          <w:sz w:val="22"/>
          <w:szCs w:val="22"/>
        </w:rPr>
        <w:t xml:space="preserve"> one-year </w:t>
      </w:r>
      <w:r>
        <w:rPr>
          <w:sz w:val="22"/>
          <w:szCs w:val="22"/>
        </w:rPr>
        <w:t xml:space="preserve">forward </w:t>
      </w:r>
      <w:r w:rsidRPr="00FF6B8D">
        <w:rPr>
          <w:sz w:val="22"/>
          <w:szCs w:val="22"/>
        </w:rPr>
        <w:t xml:space="preserve">rate in </w:t>
      </w:r>
      <w:r>
        <w:rPr>
          <w:sz w:val="22"/>
          <w:szCs w:val="22"/>
        </w:rPr>
        <w:t>one year is greater.</w:t>
      </w:r>
    </w:p>
    <w:p w:rsidR="00DF731E" w:rsidRPr="00FF6B8D" w:rsidRDefault="00DF731E" w:rsidP="00DF731E">
      <w:pPr>
        <w:rPr>
          <w:sz w:val="22"/>
          <w:szCs w:val="22"/>
        </w:rPr>
      </w:pPr>
    </w:p>
    <w:p w:rsidR="00DF731E" w:rsidRPr="00811E5A" w:rsidRDefault="00DF731E" w:rsidP="00DF731E">
      <w:pPr>
        <w:numPr>
          <w:ilvl w:val="0"/>
          <w:numId w:val="23"/>
        </w:numPr>
        <w:rPr>
          <w:b/>
          <w:sz w:val="22"/>
          <w:szCs w:val="22"/>
        </w:rPr>
      </w:pPr>
      <w:r w:rsidRPr="00811E5A">
        <w:rPr>
          <w:b/>
          <w:sz w:val="22"/>
          <w:szCs w:val="22"/>
        </w:rPr>
        <w:lastRenderedPageBreak/>
        <w:t xml:space="preserve">An opinion in a financial blog post states that if the implied forward rate for a given maturity exceeds the spot rate for that maturity, then rates will be higher in the future. Conversely, if the implied forward rate is less than the spot rate, rates will be lower in the future. To which of the Term Structure Theories does this writer subscribe? </w:t>
      </w:r>
      <w:r w:rsidRPr="00811E5A">
        <w:rPr>
          <w:b/>
          <w:i/>
          <w:sz w:val="22"/>
          <w:szCs w:val="22"/>
        </w:rPr>
        <w:t>EXPLAIN</w:t>
      </w:r>
      <w:r w:rsidRPr="00811E5A">
        <w:rPr>
          <w:b/>
          <w:sz w:val="22"/>
          <w:szCs w:val="22"/>
        </w:rPr>
        <w:t>.</w:t>
      </w:r>
    </w:p>
    <w:p w:rsidR="00DF731E" w:rsidRPr="00811E5A" w:rsidRDefault="00DF731E" w:rsidP="00DF731E">
      <w:pPr>
        <w:ind w:left="360"/>
        <w:rPr>
          <w:sz w:val="22"/>
          <w:szCs w:val="22"/>
        </w:rPr>
      </w:pPr>
    </w:p>
    <w:p w:rsidR="00DF731E" w:rsidRPr="00FF6B8D" w:rsidRDefault="00DF731E" w:rsidP="00DF731E">
      <w:pPr>
        <w:ind w:left="360"/>
        <w:rPr>
          <w:sz w:val="22"/>
          <w:szCs w:val="22"/>
        </w:rPr>
      </w:pPr>
      <w:r w:rsidRPr="00FF6B8D">
        <w:rPr>
          <w:sz w:val="22"/>
          <w:szCs w:val="22"/>
        </w:rPr>
        <w:t xml:space="preserve">Pure Expectations Hypothesis. </w:t>
      </w:r>
    </w:p>
    <w:p w:rsidR="00DF731E" w:rsidRPr="00FF6B8D" w:rsidRDefault="00DF731E" w:rsidP="00DF731E">
      <w:pPr>
        <w:ind w:left="360"/>
        <w:rPr>
          <w:sz w:val="22"/>
          <w:szCs w:val="22"/>
        </w:rPr>
      </w:pPr>
      <w:r w:rsidRPr="00FF6B8D">
        <w:rPr>
          <w:sz w:val="22"/>
          <w:szCs w:val="22"/>
        </w:rPr>
        <w:t>Current prices and yields (and therefore implied spot rates and implied forward rates) exclusively represent the expected future rates. There are no “biases” (other factors) in the yields of current bonds.</w:t>
      </w:r>
    </w:p>
    <w:p w:rsidR="00DF731E" w:rsidRDefault="00DF731E" w:rsidP="00DF731E">
      <w:pPr>
        <w:pStyle w:val="ListParagraph"/>
        <w:ind w:left="360"/>
        <w:rPr>
          <w:b/>
          <w:sz w:val="22"/>
          <w:szCs w:val="22"/>
        </w:rPr>
      </w:pPr>
    </w:p>
    <w:p w:rsidR="00DF731E" w:rsidRPr="00FF6B8D" w:rsidRDefault="00DF731E" w:rsidP="00DF731E">
      <w:pPr>
        <w:pStyle w:val="ListParagraph"/>
        <w:ind w:left="360"/>
        <w:rPr>
          <w:b/>
          <w:sz w:val="22"/>
          <w:szCs w:val="22"/>
        </w:rPr>
      </w:pPr>
    </w:p>
    <w:p w:rsidR="00DF731E" w:rsidRDefault="00DF731E" w:rsidP="00DF731E">
      <w:pPr>
        <w:pStyle w:val="ListParagraph"/>
        <w:numPr>
          <w:ilvl w:val="0"/>
          <w:numId w:val="23"/>
        </w:numPr>
        <w:rPr>
          <w:b/>
          <w:sz w:val="22"/>
          <w:szCs w:val="22"/>
        </w:rPr>
      </w:pPr>
      <w:r>
        <w:rPr>
          <w:b/>
          <w:sz w:val="22"/>
          <w:szCs w:val="22"/>
        </w:rPr>
        <w:t>In 2 years you wish to lend for 1 year. Compute the forward rate you can lock in today.</w:t>
      </w:r>
    </w:p>
    <w:p w:rsidR="00DF731E" w:rsidRDefault="00DF731E" w:rsidP="00DF731E">
      <w:pPr>
        <w:rPr>
          <w:b/>
          <w:sz w:val="22"/>
          <w:szCs w:val="22"/>
        </w:rPr>
      </w:pPr>
    </w:p>
    <w:p w:rsidR="00DF731E" w:rsidRPr="00811E5A" w:rsidRDefault="00DF731E" w:rsidP="00DF731E">
      <w:pPr>
        <w:ind w:left="270"/>
        <w:rPr>
          <w:sz w:val="22"/>
          <w:szCs w:val="22"/>
        </w:rPr>
      </w:pPr>
      <w:r>
        <w:rPr>
          <w:sz w:val="22"/>
          <w:szCs w:val="22"/>
        </w:rPr>
        <w:t>Lending</w:t>
      </w:r>
      <w:r w:rsidRPr="00811E5A">
        <w:rPr>
          <w:sz w:val="22"/>
          <w:szCs w:val="22"/>
        </w:rPr>
        <w:t xml:space="preserve"> in </w:t>
      </w:r>
      <w:r>
        <w:rPr>
          <w:sz w:val="22"/>
          <w:szCs w:val="22"/>
        </w:rPr>
        <w:t xml:space="preserve">2 </w:t>
      </w:r>
      <w:r w:rsidRPr="00811E5A">
        <w:rPr>
          <w:sz w:val="22"/>
          <w:szCs w:val="22"/>
        </w:rPr>
        <w:t>year</w:t>
      </w:r>
      <w:r>
        <w:rPr>
          <w:sz w:val="22"/>
          <w:szCs w:val="22"/>
        </w:rPr>
        <w:t>s</w:t>
      </w:r>
      <w:r w:rsidRPr="00811E5A">
        <w:rPr>
          <w:sz w:val="22"/>
          <w:szCs w:val="22"/>
        </w:rPr>
        <w:t xml:space="preserve"> for </w:t>
      </w:r>
      <w:r>
        <w:rPr>
          <w:sz w:val="22"/>
          <w:szCs w:val="22"/>
        </w:rPr>
        <w:t>1</w:t>
      </w:r>
      <w:r w:rsidRPr="00811E5A">
        <w:rPr>
          <w:sz w:val="22"/>
          <w:szCs w:val="22"/>
        </w:rPr>
        <w:t xml:space="preserve"> year means starting at time </w:t>
      </w:r>
      <w:r>
        <w:rPr>
          <w:sz w:val="22"/>
          <w:szCs w:val="22"/>
        </w:rPr>
        <w:t>4</w:t>
      </w:r>
      <w:r w:rsidRPr="00811E5A">
        <w:rPr>
          <w:sz w:val="22"/>
          <w:szCs w:val="22"/>
        </w:rPr>
        <w:t xml:space="preserve"> and ending at time </w:t>
      </w:r>
      <w:r>
        <w:rPr>
          <w:sz w:val="22"/>
          <w:szCs w:val="22"/>
        </w:rPr>
        <w:t>6</w:t>
      </w:r>
      <w:r w:rsidRPr="00811E5A">
        <w:rPr>
          <w:sz w:val="22"/>
          <w:szCs w:val="22"/>
        </w:rPr>
        <w:t>.</w:t>
      </w:r>
    </w:p>
    <w:p w:rsidR="00DF731E" w:rsidRPr="00811E5A" w:rsidRDefault="00DF731E" w:rsidP="00DF731E">
      <w:pPr>
        <w:ind w:left="270"/>
        <w:rPr>
          <w:sz w:val="22"/>
          <w:szCs w:val="22"/>
        </w:rPr>
      </w:pPr>
      <w:r w:rsidRPr="00811E5A">
        <w:rPr>
          <w:sz w:val="22"/>
          <w:szCs w:val="22"/>
        </w:rPr>
        <w:t>A =</w:t>
      </w:r>
      <w:r>
        <w:rPr>
          <w:sz w:val="22"/>
          <w:szCs w:val="22"/>
        </w:rPr>
        <w:t xml:space="preserve"> 4</w:t>
      </w:r>
      <w:r w:rsidRPr="00811E5A">
        <w:rPr>
          <w:sz w:val="22"/>
          <w:szCs w:val="22"/>
        </w:rPr>
        <w:t xml:space="preserve"> and B = </w:t>
      </w:r>
      <w:r>
        <w:rPr>
          <w:sz w:val="22"/>
          <w:szCs w:val="22"/>
        </w:rPr>
        <w:t>6</w:t>
      </w:r>
      <w:r w:rsidRPr="00811E5A">
        <w:rPr>
          <w:sz w:val="22"/>
          <w:szCs w:val="22"/>
        </w:rPr>
        <w:t xml:space="preserve"> so we need to compute </w:t>
      </w:r>
      <w:r w:rsidRPr="00811E5A">
        <w:rPr>
          <w:i/>
          <w:sz w:val="22"/>
          <w:szCs w:val="22"/>
        </w:rPr>
        <w:t>f</w:t>
      </w:r>
      <w:r>
        <w:rPr>
          <w:sz w:val="22"/>
          <w:szCs w:val="22"/>
          <w:vertAlign w:val="subscript"/>
        </w:rPr>
        <w:t>4,6</w:t>
      </w:r>
      <w:r w:rsidRPr="00811E5A">
        <w:rPr>
          <w:sz w:val="22"/>
          <w:szCs w:val="22"/>
        </w:rPr>
        <w:t xml:space="preserve">. </w:t>
      </w:r>
    </w:p>
    <w:p w:rsidR="00DF731E" w:rsidRPr="00811E5A" w:rsidRDefault="00DF731E" w:rsidP="00DF731E">
      <w:pPr>
        <w:ind w:firstLine="270"/>
        <w:rPr>
          <w:i/>
          <w:sz w:val="22"/>
          <w:szCs w:val="22"/>
        </w:rPr>
      </w:pPr>
    </w:p>
    <w:p w:rsidR="00DF731E" w:rsidRPr="00811E5A" w:rsidRDefault="00DF731E" w:rsidP="00DF731E">
      <w:pPr>
        <w:ind w:firstLine="270"/>
        <w:rPr>
          <w:sz w:val="22"/>
          <w:szCs w:val="22"/>
        </w:rPr>
      </w:pPr>
      <w:r w:rsidRPr="00811E5A">
        <w:rPr>
          <w:i/>
          <w:sz w:val="22"/>
          <w:szCs w:val="22"/>
        </w:rPr>
        <w:t>f</w:t>
      </w:r>
      <w:r w:rsidRPr="00811E5A">
        <w:rPr>
          <w:i/>
          <w:sz w:val="22"/>
          <w:szCs w:val="22"/>
          <w:vertAlign w:val="subscript"/>
        </w:rPr>
        <w:t>A,B</w:t>
      </w:r>
      <w:r w:rsidRPr="00811E5A">
        <w:rPr>
          <w:sz w:val="22"/>
          <w:szCs w:val="22"/>
        </w:rPr>
        <w:t xml:space="preserve"> = [(1 + z</w:t>
      </w:r>
      <w:r w:rsidRPr="00811E5A">
        <w:rPr>
          <w:sz w:val="22"/>
          <w:szCs w:val="22"/>
          <w:vertAlign w:val="subscript"/>
        </w:rPr>
        <w:t>B</w:t>
      </w:r>
      <w:r w:rsidRPr="00811E5A">
        <w:rPr>
          <w:sz w:val="22"/>
          <w:szCs w:val="22"/>
        </w:rPr>
        <w:t>)</w:t>
      </w:r>
      <w:r w:rsidRPr="00811E5A">
        <w:rPr>
          <w:sz w:val="22"/>
          <w:szCs w:val="22"/>
          <w:vertAlign w:val="superscript"/>
        </w:rPr>
        <w:t>B</w:t>
      </w:r>
      <w:r w:rsidRPr="00811E5A">
        <w:rPr>
          <w:sz w:val="22"/>
          <w:szCs w:val="22"/>
        </w:rPr>
        <w:t>/(1 + z</w:t>
      </w:r>
      <w:r w:rsidRPr="00811E5A">
        <w:rPr>
          <w:sz w:val="22"/>
          <w:szCs w:val="22"/>
          <w:vertAlign w:val="subscript"/>
        </w:rPr>
        <w:t>A</w:t>
      </w:r>
      <w:r w:rsidRPr="00811E5A">
        <w:rPr>
          <w:sz w:val="22"/>
          <w:szCs w:val="22"/>
        </w:rPr>
        <w:t>)</w:t>
      </w:r>
      <w:r w:rsidRPr="00811E5A">
        <w:rPr>
          <w:sz w:val="22"/>
          <w:szCs w:val="22"/>
          <w:vertAlign w:val="superscript"/>
        </w:rPr>
        <w:t>A</w:t>
      </w:r>
      <w:r w:rsidRPr="00811E5A">
        <w:rPr>
          <w:sz w:val="22"/>
          <w:szCs w:val="22"/>
        </w:rPr>
        <w:t>]</w:t>
      </w:r>
      <w:r w:rsidRPr="00811E5A">
        <w:rPr>
          <w:sz w:val="22"/>
          <w:szCs w:val="22"/>
          <w:vertAlign w:val="superscript"/>
        </w:rPr>
        <w:t>1/(B – A)</w:t>
      </w:r>
      <w:r w:rsidRPr="00811E5A">
        <w:rPr>
          <w:sz w:val="22"/>
          <w:szCs w:val="22"/>
        </w:rPr>
        <w:t xml:space="preserve"> – 1 </w:t>
      </w:r>
    </w:p>
    <w:p w:rsidR="00DF731E" w:rsidRDefault="00DF731E" w:rsidP="00DF731E">
      <w:pPr>
        <w:ind w:left="270"/>
        <w:rPr>
          <w:i/>
          <w:sz w:val="22"/>
          <w:szCs w:val="22"/>
        </w:rPr>
      </w:pPr>
    </w:p>
    <w:p w:rsidR="00DF731E" w:rsidRPr="00811E5A" w:rsidRDefault="00DF731E" w:rsidP="00DF731E">
      <w:pPr>
        <w:ind w:left="270"/>
        <w:rPr>
          <w:sz w:val="22"/>
          <w:szCs w:val="22"/>
        </w:rPr>
      </w:pPr>
      <w:r w:rsidRPr="00811E5A">
        <w:rPr>
          <w:i/>
          <w:sz w:val="22"/>
          <w:szCs w:val="22"/>
        </w:rPr>
        <w:t>f</w:t>
      </w:r>
      <w:r>
        <w:rPr>
          <w:i/>
          <w:sz w:val="22"/>
          <w:szCs w:val="22"/>
          <w:vertAlign w:val="subscript"/>
        </w:rPr>
        <w:t>4</w:t>
      </w:r>
      <w:r w:rsidRPr="00811E5A">
        <w:rPr>
          <w:i/>
          <w:sz w:val="22"/>
          <w:szCs w:val="22"/>
          <w:vertAlign w:val="subscript"/>
        </w:rPr>
        <w:t>,</w:t>
      </w:r>
      <w:r>
        <w:rPr>
          <w:i/>
          <w:sz w:val="22"/>
          <w:szCs w:val="22"/>
          <w:vertAlign w:val="subscript"/>
        </w:rPr>
        <w:t>6</w:t>
      </w:r>
      <w:r w:rsidRPr="00811E5A">
        <w:rPr>
          <w:sz w:val="22"/>
          <w:szCs w:val="22"/>
        </w:rPr>
        <w:t xml:space="preserve"> = [(1 + 0.0</w:t>
      </w:r>
      <w:r>
        <w:rPr>
          <w:sz w:val="22"/>
          <w:szCs w:val="22"/>
        </w:rPr>
        <w:t>6</w:t>
      </w:r>
      <w:r w:rsidRPr="00811E5A">
        <w:rPr>
          <w:sz w:val="22"/>
          <w:szCs w:val="22"/>
        </w:rPr>
        <w:t>/2)</w:t>
      </w:r>
      <w:r>
        <w:rPr>
          <w:sz w:val="22"/>
          <w:szCs w:val="22"/>
          <w:vertAlign w:val="superscript"/>
        </w:rPr>
        <w:t>6</w:t>
      </w:r>
      <w:r w:rsidRPr="00811E5A">
        <w:rPr>
          <w:sz w:val="22"/>
          <w:szCs w:val="22"/>
        </w:rPr>
        <w:t>/(1 + 0.0</w:t>
      </w:r>
      <w:r>
        <w:rPr>
          <w:sz w:val="22"/>
          <w:szCs w:val="22"/>
        </w:rPr>
        <w:t>4</w:t>
      </w:r>
      <w:r w:rsidRPr="00811E5A">
        <w:rPr>
          <w:sz w:val="22"/>
          <w:szCs w:val="22"/>
        </w:rPr>
        <w:t>/2)</w:t>
      </w:r>
      <w:r>
        <w:rPr>
          <w:sz w:val="22"/>
          <w:szCs w:val="22"/>
          <w:vertAlign w:val="superscript"/>
        </w:rPr>
        <w:t>4</w:t>
      </w:r>
      <w:r w:rsidRPr="00811E5A">
        <w:rPr>
          <w:sz w:val="22"/>
          <w:szCs w:val="22"/>
        </w:rPr>
        <w:t>]</w:t>
      </w:r>
      <w:r w:rsidRPr="00811E5A">
        <w:rPr>
          <w:sz w:val="22"/>
          <w:szCs w:val="22"/>
          <w:vertAlign w:val="superscript"/>
        </w:rPr>
        <w:t>1/(</w:t>
      </w:r>
      <w:r>
        <w:rPr>
          <w:sz w:val="22"/>
          <w:szCs w:val="22"/>
          <w:vertAlign w:val="superscript"/>
        </w:rPr>
        <w:t>6</w:t>
      </w:r>
      <w:r w:rsidRPr="00811E5A">
        <w:rPr>
          <w:sz w:val="22"/>
          <w:szCs w:val="22"/>
          <w:vertAlign w:val="superscript"/>
        </w:rPr>
        <w:t xml:space="preserve"> – </w:t>
      </w:r>
      <w:r>
        <w:rPr>
          <w:sz w:val="22"/>
          <w:szCs w:val="22"/>
          <w:vertAlign w:val="superscript"/>
        </w:rPr>
        <w:t>4</w:t>
      </w:r>
      <w:r w:rsidRPr="00811E5A">
        <w:rPr>
          <w:sz w:val="22"/>
          <w:szCs w:val="22"/>
          <w:vertAlign w:val="superscript"/>
        </w:rPr>
        <w:t>)</w:t>
      </w:r>
      <w:r w:rsidRPr="00811E5A">
        <w:rPr>
          <w:sz w:val="22"/>
          <w:szCs w:val="22"/>
        </w:rPr>
        <w:t xml:space="preserve"> – 1 = [1.0</w:t>
      </w:r>
      <w:r>
        <w:rPr>
          <w:sz w:val="22"/>
          <w:szCs w:val="22"/>
        </w:rPr>
        <w:t>3</w:t>
      </w:r>
      <w:r>
        <w:rPr>
          <w:sz w:val="22"/>
          <w:szCs w:val="22"/>
          <w:vertAlign w:val="superscript"/>
        </w:rPr>
        <w:t>6</w:t>
      </w:r>
      <w:r w:rsidRPr="00811E5A">
        <w:rPr>
          <w:sz w:val="22"/>
          <w:szCs w:val="22"/>
        </w:rPr>
        <w:t>/1.0</w:t>
      </w:r>
      <w:r>
        <w:rPr>
          <w:sz w:val="22"/>
          <w:szCs w:val="22"/>
        </w:rPr>
        <w:t>2</w:t>
      </w:r>
      <w:r>
        <w:rPr>
          <w:sz w:val="22"/>
          <w:szCs w:val="22"/>
          <w:vertAlign w:val="superscript"/>
        </w:rPr>
        <w:t>4</w:t>
      </w:r>
      <w:r w:rsidRPr="00811E5A">
        <w:rPr>
          <w:sz w:val="22"/>
          <w:szCs w:val="22"/>
        </w:rPr>
        <w:t>]</w:t>
      </w:r>
      <w:r w:rsidRPr="00811E5A">
        <w:rPr>
          <w:sz w:val="22"/>
          <w:szCs w:val="22"/>
          <w:vertAlign w:val="superscript"/>
        </w:rPr>
        <w:t>1/2</w:t>
      </w:r>
      <w:r w:rsidRPr="00811E5A">
        <w:rPr>
          <w:sz w:val="22"/>
          <w:szCs w:val="22"/>
        </w:rPr>
        <w:t xml:space="preserve"> – 1 = (1.</w:t>
      </w:r>
      <w:r>
        <w:rPr>
          <w:sz w:val="22"/>
          <w:szCs w:val="22"/>
        </w:rPr>
        <w:t>1941+</w:t>
      </w:r>
      <w:r w:rsidRPr="00811E5A">
        <w:rPr>
          <w:sz w:val="22"/>
          <w:szCs w:val="22"/>
        </w:rPr>
        <w:t>/1.0</w:t>
      </w:r>
      <w:r>
        <w:rPr>
          <w:sz w:val="22"/>
          <w:szCs w:val="22"/>
        </w:rPr>
        <w:t>824</w:t>
      </w:r>
      <w:r w:rsidRPr="00811E5A">
        <w:rPr>
          <w:sz w:val="22"/>
          <w:szCs w:val="22"/>
        </w:rPr>
        <w:t>)</w:t>
      </w:r>
      <w:r w:rsidRPr="00811E5A">
        <w:rPr>
          <w:sz w:val="22"/>
          <w:szCs w:val="22"/>
          <w:vertAlign w:val="superscript"/>
        </w:rPr>
        <w:t>1/2</w:t>
      </w:r>
      <w:r w:rsidRPr="00811E5A">
        <w:rPr>
          <w:sz w:val="22"/>
          <w:szCs w:val="22"/>
        </w:rPr>
        <w:t xml:space="preserve"> – 1 </w:t>
      </w:r>
    </w:p>
    <w:p w:rsidR="00DF731E" w:rsidRPr="00811E5A" w:rsidRDefault="00DF731E" w:rsidP="00DF731E">
      <w:pPr>
        <w:ind w:left="270"/>
        <w:rPr>
          <w:sz w:val="22"/>
          <w:szCs w:val="22"/>
        </w:rPr>
      </w:pPr>
      <w:r w:rsidRPr="00811E5A">
        <w:rPr>
          <w:i/>
          <w:sz w:val="22"/>
          <w:szCs w:val="22"/>
        </w:rPr>
        <w:t xml:space="preserve">      </w:t>
      </w:r>
      <w:r w:rsidRPr="00811E5A">
        <w:rPr>
          <w:sz w:val="22"/>
          <w:szCs w:val="22"/>
        </w:rPr>
        <w:t>= 1.</w:t>
      </w:r>
      <w:r>
        <w:rPr>
          <w:sz w:val="22"/>
          <w:szCs w:val="22"/>
        </w:rPr>
        <w:t>1031</w:t>
      </w:r>
      <w:r w:rsidRPr="00811E5A">
        <w:rPr>
          <w:sz w:val="22"/>
          <w:szCs w:val="22"/>
          <w:vertAlign w:val="superscript"/>
        </w:rPr>
        <w:t>1/2</w:t>
      </w:r>
      <w:r w:rsidRPr="00811E5A">
        <w:rPr>
          <w:sz w:val="22"/>
          <w:szCs w:val="22"/>
        </w:rPr>
        <w:t xml:space="preserve"> – 1 = 1.0</w:t>
      </w:r>
      <w:r>
        <w:rPr>
          <w:sz w:val="22"/>
          <w:szCs w:val="22"/>
        </w:rPr>
        <w:t>503</w:t>
      </w:r>
      <w:r w:rsidRPr="00811E5A">
        <w:rPr>
          <w:sz w:val="22"/>
          <w:szCs w:val="22"/>
        </w:rPr>
        <w:t xml:space="preserve"> – 1 = 0.0</w:t>
      </w:r>
      <w:r>
        <w:rPr>
          <w:sz w:val="22"/>
          <w:szCs w:val="22"/>
        </w:rPr>
        <w:t>503</w:t>
      </w:r>
    </w:p>
    <w:p w:rsidR="00DF731E" w:rsidRPr="00811E5A" w:rsidRDefault="00DF731E" w:rsidP="00DF731E">
      <w:pPr>
        <w:ind w:left="270"/>
        <w:rPr>
          <w:sz w:val="22"/>
          <w:szCs w:val="22"/>
        </w:rPr>
      </w:pPr>
      <w:r w:rsidRPr="00811E5A">
        <w:rPr>
          <w:sz w:val="22"/>
          <w:szCs w:val="22"/>
        </w:rPr>
        <w:t>0.0</w:t>
      </w:r>
      <w:r>
        <w:rPr>
          <w:sz w:val="22"/>
          <w:szCs w:val="22"/>
        </w:rPr>
        <w:t>503</w:t>
      </w:r>
      <w:r w:rsidRPr="00811E5A">
        <w:rPr>
          <w:sz w:val="22"/>
          <w:szCs w:val="22"/>
        </w:rPr>
        <w:t xml:space="preserve"> × 2 = </w:t>
      </w:r>
      <w:r>
        <w:rPr>
          <w:sz w:val="22"/>
          <w:szCs w:val="22"/>
        </w:rPr>
        <w:t>10</w:t>
      </w:r>
      <w:r w:rsidRPr="00811E5A">
        <w:rPr>
          <w:sz w:val="22"/>
          <w:szCs w:val="22"/>
        </w:rPr>
        <w:t>.</w:t>
      </w:r>
      <w:r>
        <w:rPr>
          <w:sz w:val="22"/>
          <w:szCs w:val="22"/>
        </w:rPr>
        <w:t>06</w:t>
      </w:r>
      <w:r w:rsidRPr="00811E5A">
        <w:rPr>
          <w:sz w:val="22"/>
          <w:szCs w:val="22"/>
        </w:rPr>
        <w:t>%</w:t>
      </w:r>
    </w:p>
    <w:p w:rsidR="00DF731E" w:rsidRPr="00811E5A" w:rsidRDefault="00DF731E" w:rsidP="00DF731E">
      <w:pPr>
        <w:ind w:left="270"/>
        <w:rPr>
          <w:sz w:val="22"/>
          <w:szCs w:val="22"/>
        </w:rPr>
      </w:pPr>
    </w:p>
    <w:p w:rsidR="00DF731E" w:rsidRPr="00811E5A" w:rsidRDefault="00DF731E" w:rsidP="00DF731E">
      <w:pPr>
        <w:ind w:left="270"/>
        <w:rPr>
          <w:sz w:val="22"/>
          <w:szCs w:val="22"/>
        </w:rPr>
      </w:pPr>
      <w:r w:rsidRPr="00811E5A">
        <w:rPr>
          <w:sz w:val="22"/>
          <w:szCs w:val="22"/>
        </w:rPr>
        <w:t xml:space="preserve">This is the implied forward rate “in </w:t>
      </w:r>
      <w:r>
        <w:rPr>
          <w:sz w:val="22"/>
          <w:szCs w:val="22"/>
        </w:rPr>
        <w:t>2</w:t>
      </w:r>
      <w:r w:rsidRPr="00811E5A">
        <w:rPr>
          <w:sz w:val="22"/>
          <w:szCs w:val="22"/>
        </w:rPr>
        <w:t xml:space="preserve"> year</w:t>
      </w:r>
      <w:r>
        <w:rPr>
          <w:sz w:val="22"/>
          <w:szCs w:val="22"/>
        </w:rPr>
        <w:t>s</w:t>
      </w:r>
      <w:r w:rsidRPr="00811E5A">
        <w:rPr>
          <w:sz w:val="22"/>
          <w:szCs w:val="22"/>
        </w:rPr>
        <w:t xml:space="preserve"> for 1 year” or “starting in </w:t>
      </w:r>
      <w:r>
        <w:rPr>
          <w:sz w:val="22"/>
          <w:szCs w:val="22"/>
        </w:rPr>
        <w:t>2</w:t>
      </w:r>
      <w:r w:rsidRPr="00811E5A">
        <w:rPr>
          <w:sz w:val="22"/>
          <w:szCs w:val="22"/>
        </w:rPr>
        <w:t xml:space="preserve"> year</w:t>
      </w:r>
      <w:r>
        <w:rPr>
          <w:sz w:val="22"/>
          <w:szCs w:val="22"/>
        </w:rPr>
        <w:t>s</w:t>
      </w:r>
      <w:r w:rsidRPr="00811E5A">
        <w:rPr>
          <w:sz w:val="22"/>
          <w:szCs w:val="22"/>
        </w:rPr>
        <w:t xml:space="preserve"> and ending in </w:t>
      </w:r>
      <w:r>
        <w:rPr>
          <w:sz w:val="22"/>
          <w:szCs w:val="22"/>
        </w:rPr>
        <w:t>3</w:t>
      </w:r>
      <w:r w:rsidRPr="00811E5A">
        <w:rPr>
          <w:sz w:val="22"/>
          <w:szCs w:val="22"/>
        </w:rPr>
        <w:t xml:space="preserve"> years.”</w:t>
      </w:r>
    </w:p>
    <w:p w:rsidR="00DF731E" w:rsidRDefault="00DF731E" w:rsidP="00DF731E">
      <w:pPr>
        <w:rPr>
          <w:b/>
          <w:sz w:val="22"/>
          <w:szCs w:val="22"/>
        </w:rPr>
      </w:pPr>
    </w:p>
    <w:p w:rsidR="00DF731E" w:rsidRDefault="00DF731E" w:rsidP="00DF731E">
      <w:pPr>
        <w:rPr>
          <w:b/>
          <w:sz w:val="22"/>
          <w:szCs w:val="22"/>
        </w:rPr>
      </w:pPr>
    </w:p>
    <w:p w:rsidR="00DF731E" w:rsidRDefault="00DF731E" w:rsidP="00DF731E">
      <w:pPr>
        <w:pStyle w:val="ListParagraph"/>
        <w:numPr>
          <w:ilvl w:val="0"/>
          <w:numId w:val="25"/>
        </w:numPr>
        <w:autoSpaceDE w:val="0"/>
        <w:autoSpaceDN w:val="0"/>
        <w:adjustRightInd w:val="0"/>
        <w:rPr>
          <w:b/>
          <w:sz w:val="22"/>
          <w:szCs w:val="22"/>
        </w:rPr>
      </w:pPr>
      <w:r w:rsidRPr="00811E5A">
        <w:rPr>
          <w:b/>
          <w:sz w:val="22"/>
          <w:szCs w:val="22"/>
        </w:rPr>
        <w:t>The Table below shows tradable spot zero STRIPS rates. All rates are in BEY terms.</w:t>
      </w:r>
      <w:r>
        <w:rPr>
          <w:b/>
          <w:sz w:val="22"/>
          <w:szCs w:val="22"/>
        </w:rPr>
        <w:t xml:space="preserve"> </w:t>
      </w:r>
    </w:p>
    <w:p w:rsidR="00DF731E" w:rsidRPr="00811E5A" w:rsidRDefault="00DF731E" w:rsidP="00DF731E">
      <w:pPr>
        <w:pStyle w:val="ListParagraph"/>
        <w:autoSpaceDE w:val="0"/>
        <w:autoSpaceDN w:val="0"/>
        <w:adjustRightInd w:val="0"/>
        <w:ind w:left="360"/>
        <w:rPr>
          <w:b/>
          <w:sz w:val="22"/>
          <w:szCs w:val="22"/>
        </w:rPr>
      </w:pPr>
      <w:r>
        <w:rPr>
          <w:b/>
          <w:sz w:val="22"/>
          <w:szCs w:val="22"/>
        </w:rPr>
        <w:t>Note the inverted Yield curve.</w:t>
      </w:r>
    </w:p>
    <w:p w:rsidR="00DF731E" w:rsidRPr="00811E5A" w:rsidRDefault="00DF731E" w:rsidP="00DF731E">
      <w:pPr>
        <w:rPr>
          <w:sz w:val="22"/>
          <w:szCs w:val="22"/>
        </w:rPr>
      </w:pPr>
    </w:p>
    <w:tbl>
      <w:tblPr>
        <w:tblW w:w="2883" w:type="dxa"/>
        <w:tblInd w:w="612" w:type="dxa"/>
        <w:tblLook w:val="04A0" w:firstRow="1" w:lastRow="0" w:firstColumn="1" w:lastColumn="0" w:noHBand="0" w:noVBand="1"/>
      </w:tblPr>
      <w:tblGrid>
        <w:gridCol w:w="960"/>
        <w:gridCol w:w="963"/>
        <w:gridCol w:w="987"/>
      </w:tblGrid>
      <w:tr w:rsidR="00DF731E" w:rsidRPr="00811E5A" w:rsidTr="00384F42">
        <w:trPr>
          <w:trHeight w:val="300"/>
        </w:trPr>
        <w:tc>
          <w:tcPr>
            <w:tcW w:w="960" w:type="dxa"/>
            <w:tcBorders>
              <w:top w:val="nil"/>
              <w:left w:val="nil"/>
              <w:bottom w:val="single" w:sz="4" w:space="0" w:color="auto"/>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Years</w:t>
            </w:r>
          </w:p>
        </w:tc>
        <w:tc>
          <w:tcPr>
            <w:tcW w:w="963" w:type="dxa"/>
            <w:tcBorders>
              <w:top w:val="nil"/>
              <w:left w:val="nil"/>
              <w:bottom w:val="single" w:sz="4" w:space="0" w:color="auto"/>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Periods</w:t>
            </w:r>
          </w:p>
        </w:tc>
        <w:tc>
          <w:tcPr>
            <w:tcW w:w="960" w:type="dxa"/>
            <w:tcBorders>
              <w:top w:val="nil"/>
              <w:left w:val="nil"/>
              <w:bottom w:val="single" w:sz="4" w:space="0" w:color="auto"/>
              <w:right w:val="nil"/>
            </w:tcBorders>
            <w:shd w:val="clear" w:color="auto" w:fill="auto"/>
            <w:noWrap/>
            <w:vAlign w:val="bottom"/>
            <w:hideMark/>
          </w:tcPr>
          <w:p w:rsidR="00DF731E" w:rsidRPr="00811E5A" w:rsidRDefault="00DF731E" w:rsidP="00384F42">
            <w:pPr>
              <w:rPr>
                <w:b/>
                <w:color w:val="000000"/>
                <w:sz w:val="22"/>
                <w:szCs w:val="22"/>
              </w:rPr>
            </w:pPr>
            <w:r w:rsidRPr="00811E5A">
              <w:rPr>
                <w:b/>
                <w:color w:val="000000"/>
                <w:sz w:val="22"/>
                <w:szCs w:val="22"/>
              </w:rPr>
              <w:t>STRIPS</w:t>
            </w:r>
          </w:p>
        </w:tc>
      </w:tr>
      <w:tr w:rsidR="00DF731E" w:rsidRPr="00811E5A" w:rsidTr="00384F42">
        <w:trPr>
          <w:trHeight w:val="56"/>
        </w:trPr>
        <w:tc>
          <w:tcPr>
            <w:tcW w:w="960" w:type="dxa"/>
            <w:tcBorders>
              <w:top w:val="nil"/>
              <w:left w:val="nil"/>
              <w:bottom w:val="nil"/>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0.5</w:t>
            </w:r>
          </w:p>
        </w:tc>
        <w:tc>
          <w:tcPr>
            <w:tcW w:w="963" w:type="dxa"/>
            <w:tcBorders>
              <w:top w:val="nil"/>
              <w:left w:val="nil"/>
              <w:bottom w:val="nil"/>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1</w:t>
            </w:r>
          </w:p>
        </w:tc>
        <w:tc>
          <w:tcPr>
            <w:tcW w:w="960" w:type="dxa"/>
            <w:tcBorders>
              <w:top w:val="nil"/>
              <w:left w:val="nil"/>
              <w:bottom w:val="nil"/>
              <w:right w:val="nil"/>
            </w:tcBorders>
            <w:shd w:val="clear" w:color="auto" w:fill="auto"/>
            <w:noWrap/>
            <w:vAlign w:val="bottom"/>
            <w:hideMark/>
          </w:tcPr>
          <w:p w:rsidR="00DF731E" w:rsidRPr="00811E5A" w:rsidRDefault="00DF731E" w:rsidP="00384F42">
            <w:pPr>
              <w:jc w:val="right"/>
              <w:rPr>
                <w:b/>
                <w:color w:val="000000"/>
                <w:sz w:val="22"/>
                <w:szCs w:val="22"/>
              </w:rPr>
            </w:pPr>
            <w:r>
              <w:rPr>
                <w:b/>
                <w:color w:val="000000"/>
                <w:sz w:val="22"/>
                <w:szCs w:val="22"/>
              </w:rPr>
              <w:t>4.5</w:t>
            </w:r>
            <w:r w:rsidRPr="00811E5A">
              <w:rPr>
                <w:b/>
                <w:color w:val="000000"/>
                <w:sz w:val="22"/>
                <w:szCs w:val="22"/>
              </w:rPr>
              <w:t>0%</w:t>
            </w:r>
          </w:p>
        </w:tc>
      </w:tr>
      <w:tr w:rsidR="00DF731E" w:rsidRPr="00811E5A" w:rsidTr="00384F42">
        <w:trPr>
          <w:trHeight w:val="66"/>
        </w:trPr>
        <w:tc>
          <w:tcPr>
            <w:tcW w:w="960" w:type="dxa"/>
            <w:tcBorders>
              <w:top w:val="nil"/>
              <w:left w:val="nil"/>
              <w:bottom w:val="nil"/>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1</w:t>
            </w:r>
          </w:p>
        </w:tc>
        <w:tc>
          <w:tcPr>
            <w:tcW w:w="963" w:type="dxa"/>
            <w:tcBorders>
              <w:top w:val="nil"/>
              <w:left w:val="nil"/>
              <w:bottom w:val="nil"/>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2</w:t>
            </w:r>
          </w:p>
        </w:tc>
        <w:tc>
          <w:tcPr>
            <w:tcW w:w="960" w:type="dxa"/>
            <w:tcBorders>
              <w:top w:val="nil"/>
              <w:left w:val="nil"/>
              <w:bottom w:val="nil"/>
              <w:right w:val="nil"/>
            </w:tcBorders>
            <w:shd w:val="clear" w:color="auto" w:fill="auto"/>
            <w:noWrap/>
            <w:vAlign w:val="bottom"/>
            <w:hideMark/>
          </w:tcPr>
          <w:p w:rsidR="00DF731E" w:rsidRPr="00811E5A" w:rsidRDefault="00DF731E" w:rsidP="00384F42">
            <w:pPr>
              <w:jc w:val="right"/>
              <w:rPr>
                <w:b/>
                <w:color w:val="000000"/>
                <w:sz w:val="22"/>
                <w:szCs w:val="22"/>
              </w:rPr>
            </w:pPr>
            <w:r>
              <w:rPr>
                <w:b/>
                <w:color w:val="000000"/>
                <w:sz w:val="22"/>
                <w:szCs w:val="22"/>
              </w:rPr>
              <w:t>4</w:t>
            </w:r>
            <w:r w:rsidRPr="00811E5A">
              <w:rPr>
                <w:b/>
                <w:color w:val="000000"/>
                <w:sz w:val="22"/>
                <w:szCs w:val="22"/>
              </w:rPr>
              <w:t>.</w:t>
            </w:r>
            <w:r>
              <w:rPr>
                <w:b/>
                <w:color w:val="000000"/>
                <w:sz w:val="22"/>
                <w:szCs w:val="22"/>
              </w:rPr>
              <w:t>0</w:t>
            </w:r>
            <w:r w:rsidRPr="00811E5A">
              <w:rPr>
                <w:b/>
                <w:color w:val="000000"/>
                <w:sz w:val="22"/>
                <w:szCs w:val="22"/>
              </w:rPr>
              <w:t>0%</w:t>
            </w:r>
          </w:p>
        </w:tc>
      </w:tr>
      <w:tr w:rsidR="00DF731E" w:rsidRPr="00811E5A" w:rsidTr="00384F42">
        <w:trPr>
          <w:trHeight w:val="66"/>
        </w:trPr>
        <w:tc>
          <w:tcPr>
            <w:tcW w:w="960" w:type="dxa"/>
            <w:tcBorders>
              <w:top w:val="nil"/>
              <w:left w:val="nil"/>
              <w:bottom w:val="nil"/>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1.5</w:t>
            </w:r>
          </w:p>
        </w:tc>
        <w:tc>
          <w:tcPr>
            <w:tcW w:w="963" w:type="dxa"/>
            <w:tcBorders>
              <w:top w:val="nil"/>
              <w:left w:val="nil"/>
              <w:bottom w:val="nil"/>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3</w:t>
            </w:r>
          </w:p>
        </w:tc>
        <w:tc>
          <w:tcPr>
            <w:tcW w:w="960" w:type="dxa"/>
            <w:tcBorders>
              <w:top w:val="nil"/>
              <w:left w:val="nil"/>
              <w:bottom w:val="nil"/>
              <w:right w:val="nil"/>
            </w:tcBorders>
            <w:shd w:val="clear" w:color="auto" w:fill="auto"/>
            <w:noWrap/>
            <w:vAlign w:val="bottom"/>
            <w:hideMark/>
          </w:tcPr>
          <w:p w:rsidR="00DF731E" w:rsidRPr="00811E5A" w:rsidRDefault="00DF731E" w:rsidP="00384F42">
            <w:pPr>
              <w:jc w:val="right"/>
              <w:rPr>
                <w:b/>
                <w:color w:val="000000"/>
                <w:sz w:val="22"/>
                <w:szCs w:val="22"/>
              </w:rPr>
            </w:pPr>
            <w:r>
              <w:rPr>
                <w:b/>
                <w:color w:val="000000"/>
                <w:sz w:val="22"/>
                <w:szCs w:val="22"/>
              </w:rPr>
              <w:t>3</w:t>
            </w:r>
            <w:r w:rsidRPr="00811E5A">
              <w:rPr>
                <w:b/>
                <w:color w:val="000000"/>
                <w:sz w:val="22"/>
                <w:szCs w:val="22"/>
              </w:rPr>
              <w:t>.</w:t>
            </w:r>
            <w:r>
              <w:rPr>
                <w:b/>
                <w:color w:val="000000"/>
                <w:sz w:val="22"/>
                <w:szCs w:val="22"/>
              </w:rPr>
              <w:t>5</w:t>
            </w:r>
            <w:r w:rsidRPr="00811E5A">
              <w:rPr>
                <w:b/>
                <w:color w:val="000000"/>
                <w:sz w:val="22"/>
                <w:szCs w:val="22"/>
              </w:rPr>
              <w:t>0%</w:t>
            </w:r>
          </w:p>
        </w:tc>
      </w:tr>
      <w:tr w:rsidR="00DF731E" w:rsidRPr="00811E5A" w:rsidTr="00384F42">
        <w:trPr>
          <w:trHeight w:val="66"/>
        </w:trPr>
        <w:tc>
          <w:tcPr>
            <w:tcW w:w="960" w:type="dxa"/>
            <w:tcBorders>
              <w:top w:val="nil"/>
              <w:left w:val="nil"/>
              <w:bottom w:val="nil"/>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2</w:t>
            </w:r>
          </w:p>
        </w:tc>
        <w:tc>
          <w:tcPr>
            <w:tcW w:w="963" w:type="dxa"/>
            <w:tcBorders>
              <w:top w:val="nil"/>
              <w:left w:val="nil"/>
              <w:bottom w:val="nil"/>
              <w:right w:val="nil"/>
            </w:tcBorders>
            <w:shd w:val="clear" w:color="auto" w:fill="auto"/>
            <w:noWrap/>
            <w:vAlign w:val="bottom"/>
            <w:hideMark/>
          </w:tcPr>
          <w:p w:rsidR="00DF731E" w:rsidRPr="00811E5A" w:rsidRDefault="00DF731E" w:rsidP="00384F42">
            <w:pPr>
              <w:jc w:val="center"/>
              <w:rPr>
                <w:b/>
                <w:color w:val="000000"/>
                <w:sz w:val="22"/>
                <w:szCs w:val="22"/>
              </w:rPr>
            </w:pPr>
            <w:r w:rsidRPr="00811E5A">
              <w:rPr>
                <w:b/>
                <w:color w:val="000000"/>
                <w:sz w:val="22"/>
                <w:szCs w:val="22"/>
              </w:rPr>
              <w:t>4</w:t>
            </w:r>
          </w:p>
        </w:tc>
        <w:tc>
          <w:tcPr>
            <w:tcW w:w="960" w:type="dxa"/>
            <w:tcBorders>
              <w:top w:val="nil"/>
              <w:left w:val="nil"/>
              <w:bottom w:val="nil"/>
              <w:right w:val="nil"/>
            </w:tcBorders>
            <w:shd w:val="clear" w:color="auto" w:fill="auto"/>
            <w:noWrap/>
            <w:vAlign w:val="bottom"/>
            <w:hideMark/>
          </w:tcPr>
          <w:p w:rsidR="00DF731E" w:rsidRPr="00811E5A" w:rsidRDefault="00DF731E" w:rsidP="00384F42">
            <w:pPr>
              <w:jc w:val="right"/>
              <w:rPr>
                <w:b/>
                <w:color w:val="000000"/>
                <w:sz w:val="22"/>
                <w:szCs w:val="22"/>
              </w:rPr>
            </w:pPr>
            <w:r>
              <w:rPr>
                <w:b/>
                <w:color w:val="000000"/>
                <w:sz w:val="22"/>
                <w:szCs w:val="22"/>
              </w:rPr>
              <w:t>3</w:t>
            </w:r>
            <w:r w:rsidRPr="00811E5A">
              <w:rPr>
                <w:b/>
                <w:color w:val="000000"/>
                <w:sz w:val="22"/>
                <w:szCs w:val="22"/>
              </w:rPr>
              <w:t>.</w:t>
            </w:r>
            <w:r>
              <w:rPr>
                <w:b/>
                <w:color w:val="000000"/>
                <w:sz w:val="22"/>
                <w:szCs w:val="22"/>
              </w:rPr>
              <w:t>0</w:t>
            </w:r>
            <w:r w:rsidRPr="00811E5A">
              <w:rPr>
                <w:b/>
                <w:color w:val="000000"/>
                <w:sz w:val="22"/>
                <w:szCs w:val="22"/>
              </w:rPr>
              <w:t>0%</w:t>
            </w:r>
          </w:p>
        </w:tc>
      </w:tr>
      <w:tr w:rsidR="00DF731E" w:rsidRPr="00811E5A" w:rsidTr="00384F42">
        <w:trPr>
          <w:trHeight w:val="66"/>
        </w:trPr>
        <w:tc>
          <w:tcPr>
            <w:tcW w:w="960" w:type="dxa"/>
            <w:tcBorders>
              <w:top w:val="nil"/>
              <w:left w:val="nil"/>
              <w:bottom w:val="nil"/>
              <w:right w:val="nil"/>
            </w:tcBorders>
            <w:shd w:val="clear" w:color="auto" w:fill="auto"/>
            <w:noWrap/>
            <w:vAlign w:val="bottom"/>
          </w:tcPr>
          <w:p w:rsidR="00DF731E" w:rsidRPr="00811E5A" w:rsidRDefault="00DF731E" w:rsidP="00384F42">
            <w:pPr>
              <w:jc w:val="center"/>
              <w:rPr>
                <w:b/>
                <w:color w:val="000000"/>
                <w:sz w:val="22"/>
                <w:szCs w:val="22"/>
              </w:rPr>
            </w:pPr>
            <w:r w:rsidRPr="00811E5A">
              <w:rPr>
                <w:b/>
                <w:color w:val="000000"/>
                <w:sz w:val="22"/>
                <w:szCs w:val="22"/>
              </w:rPr>
              <w:t>2.5</w:t>
            </w:r>
          </w:p>
        </w:tc>
        <w:tc>
          <w:tcPr>
            <w:tcW w:w="963" w:type="dxa"/>
            <w:tcBorders>
              <w:top w:val="nil"/>
              <w:left w:val="nil"/>
              <w:bottom w:val="nil"/>
              <w:right w:val="nil"/>
            </w:tcBorders>
            <w:shd w:val="clear" w:color="auto" w:fill="auto"/>
            <w:noWrap/>
            <w:vAlign w:val="bottom"/>
          </w:tcPr>
          <w:p w:rsidR="00DF731E" w:rsidRPr="00811E5A" w:rsidRDefault="00DF731E" w:rsidP="00384F42">
            <w:pPr>
              <w:jc w:val="center"/>
              <w:rPr>
                <w:b/>
                <w:color w:val="000000"/>
                <w:sz w:val="22"/>
                <w:szCs w:val="22"/>
              </w:rPr>
            </w:pPr>
            <w:r w:rsidRPr="00811E5A">
              <w:rPr>
                <w:b/>
                <w:color w:val="000000"/>
                <w:sz w:val="22"/>
                <w:szCs w:val="22"/>
              </w:rPr>
              <w:t>5</w:t>
            </w:r>
          </w:p>
        </w:tc>
        <w:tc>
          <w:tcPr>
            <w:tcW w:w="960" w:type="dxa"/>
            <w:tcBorders>
              <w:top w:val="nil"/>
              <w:left w:val="nil"/>
              <w:bottom w:val="nil"/>
              <w:right w:val="nil"/>
            </w:tcBorders>
            <w:shd w:val="clear" w:color="auto" w:fill="auto"/>
            <w:noWrap/>
            <w:vAlign w:val="bottom"/>
          </w:tcPr>
          <w:p w:rsidR="00DF731E" w:rsidRPr="00811E5A" w:rsidRDefault="00DF731E" w:rsidP="00384F42">
            <w:pPr>
              <w:jc w:val="right"/>
              <w:rPr>
                <w:b/>
                <w:color w:val="000000"/>
                <w:sz w:val="22"/>
                <w:szCs w:val="22"/>
              </w:rPr>
            </w:pPr>
            <w:r>
              <w:rPr>
                <w:b/>
                <w:color w:val="000000"/>
                <w:sz w:val="22"/>
                <w:szCs w:val="22"/>
              </w:rPr>
              <w:t>2</w:t>
            </w:r>
            <w:r w:rsidRPr="00811E5A">
              <w:rPr>
                <w:b/>
                <w:color w:val="000000"/>
                <w:sz w:val="22"/>
                <w:szCs w:val="22"/>
              </w:rPr>
              <w:t>.</w:t>
            </w:r>
            <w:r>
              <w:rPr>
                <w:b/>
                <w:color w:val="000000"/>
                <w:sz w:val="22"/>
                <w:szCs w:val="22"/>
              </w:rPr>
              <w:t>5</w:t>
            </w:r>
            <w:r w:rsidRPr="00811E5A">
              <w:rPr>
                <w:b/>
                <w:color w:val="000000"/>
                <w:sz w:val="22"/>
                <w:szCs w:val="22"/>
              </w:rPr>
              <w:t>0%</w:t>
            </w:r>
          </w:p>
        </w:tc>
      </w:tr>
      <w:tr w:rsidR="00DF731E" w:rsidRPr="00811E5A" w:rsidTr="00384F42">
        <w:trPr>
          <w:trHeight w:val="66"/>
        </w:trPr>
        <w:tc>
          <w:tcPr>
            <w:tcW w:w="960" w:type="dxa"/>
            <w:tcBorders>
              <w:top w:val="nil"/>
              <w:left w:val="nil"/>
              <w:bottom w:val="nil"/>
              <w:right w:val="nil"/>
            </w:tcBorders>
            <w:shd w:val="clear" w:color="auto" w:fill="auto"/>
            <w:noWrap/>
            <w:vAlign w:val="bottom"/>
          </w:tcPr>
          <w:p w:rsidR="00DF731E" w:rsidRPr="00811E5A" w:rsidRDefault="00DF731E" w:rsidP="00384F42">
            <w:pPr>
              <w:jc w:val="center"/>
              <w:rPr>
                <w:b/>
                <w:sz w:val="22"/>
                <w:szCs w:val="22"/>
              </w:rPr>
            </w:pPr>
            <w:r w:rsidRPr="00811E5A">
              <w:rPr>
                <w:b/>
                <w:sz w:val="22"/>
                <w:szCs w:val="22"/>
              </w:rPr>
              <w:t>3</w:t>
            </w:r>
          </w:p>
        </w:tc>
        <w:tc>
          <w:tcPr>
            <w:tcW w:w="963" w:type="dxa"/>
            <w:tcBorders>
              <w:top w:val="nil"/>
              <w:left w:val="nil"/>
              <w:bottom w:val="nil"/>
              <w:right w:val="nil"/>
            </w:tcBorders>
            <w:shd w:val="clear" w:color="auto" w:fill="auto"/>
            <w:noWrap/>
            <w:vAlign w:val="bottom"/>
          </w:tcPr>
          <w:p w:rsidR="00DF731E" w:rsidRPr="00811E5A" w:rsidRDefault="00DF731E" w:rsidP="00384F42">
            <w:pPr>
              <w:jc w:val="center"/>
              <w:rPr>
                <w:b/>
                <w:sz w:val="22"/>
                <w:szCs w:val="22"/>
              </w:rPr>
            </w:pPr>
            <w:r w:rsidRPr="00811E5A">
              <w:rPr>
                <w:b/>
                <w:sz w:val="22"/>
                <w:szCs w:val="22"/>
              </w:rPr>
              <w:t>6</w:t>
            </w:r>
          </w:p>
        </w:tc>
        <w:tc>
          <w:tcPr>
            <w:tcW w:w="960" w:type="dxa"/>
            <w:tcBorders>
              <w:top w:val="nil"/>
              <w:left w:val="nil"/>
              <w:bottom w:val="nil"/>
              <w:right w:val="nil"/>
            </w:tcBorders>
            <w:shd w:val="clear" w:color="auto" w:fill="auto"/>
            <w:noWrap/>
            <w:vAlign w:val="bottom"/>
          </w:tcPr>
          <w:p w:rsidR="00DF731E" w:rsidRPr="00811E5A" w:rsidRDefault="00DF731E" w:rsidP="00384F42">
            <w:pPr>
              <w:jc w:val="right"/>
              <w:rPr>
                <w:b/>
                <w:sz w:val="22"/>
                <w:szCs w:val="22"/>
              </w:rPr>
            </w:pPr>
            <w:r>
              <w:rPr>
                <w:b/>
                <w:sz w:val="22"/>
                <w:szCs w:val="22"/>
              </w:rPr>
              <w:t>2</w:t>
            </w:r>
            <w:r w:rsidRPr="00811E5A">
              <w:rPr>
                <w:b/>
                <w:sz w:val="22"/>
                <w:szCs w:val="22"/>
              </w:rPr>
              <w:t>.</w:t>
            </w:r>
            <w:r>
              <w:rPr>
                <w:b/>
                <w:sz w:val="22"/>
                <w:szCs w:val="22"/>
              </w:rPr>
              <w:t>0</w:t>
            </w:r>
            <w:r w:rsidRPr="00811E5A">
              <w:rPr>
                <w:b/>
                <w:sz w:val="22"/>
                <w:szCs w:val="22"/>
              </w:rPr>
              <w:t>0%</w:t>
            </w:r>
          </w:p>
        </w:tc>
      </w:tr>
    </w:tbl>
    <w:p w:rsidR="00DF731E" w:rsidRDefault="00DF731E" w:rsidP="00DF731E">
      <w:pPr>
        <w:rPr>
          <w:b/>
          <w:sz w:val="22"/>
          <w:szCs w:val="22"/>
        </w:rPr>
      </w:pPr>
    </w:p>
    <w:p w:rsidR="00DF731E" w:rsidRPr="00811E5A" w:rsidRDefault="00DF731E" w:rsidP="00DF731E">
      <w:pPr>
        <w:pStyle w:val="ListParagraph"/>
        <w:numPr>
          <w:ilvl w:val="0"/>
          <w:numId w:val="24"/>
        </w:numPr>
        <w:rPr>
          <w:b/>
          <w:sz w:val="22"/>
          <w:szCs w:val="22"/>
        </w:rPr>
      </w:pPr>
      <w:r w:rsidRPr="00811E5A">
        <w:rPr>
          <w:b/>
          <w:sz w:val="22"/>
          <w:szCs w:val="22"/>
        </w:rPr>
        <w:t xml:space="preserve">Compute the rate can you lock in today for a forward loan </w:t>
      </w:r>
      <w:r>
        <w:rPr>
          <w:b/>
          <w:sz w:val="22"/>
          <w:szCs w:val="22"/>
        </w:rPr>
        <w:t xml:space="preserve">starting </w:t>
      </w:r>
      <w:r w:rsidRPr="00811E5A">
        <w:rPr>
          <w:b/>
          <w:sz w:val="22"/>
          <w:szCs w:val="22"/>
        </w:rPr>
        <w:t xml:space="preserve">in one year for </w:t>
      </w:r>
      <w:r>
        <w:rPr>
          <w:b/>
          <w:sz w:val="22"/>
          <w:szCs w:val="22"/>
        </w:rPr>
        <w:t xml:space="preserve">and lasting </w:t>
      </w:r>
      <w:r w:rsidRPr="00811E5A">
        <w:rPr>
          <w:b/>
          <w:sz w:val="22"/>
          <w:szCs w:val="22"/>
        </w:rPr>
        <w:t>one year.</w:t>
      </w:r>
    </w:p>
    <w:p w:rsidR="00DF731E" w:rsidRDefault="00DF731E" w:rsidP="00DF731E">
      <w:pPr>
        <w:rPr>
          <w:b/>
          <w:sz w:val="22"/>
          <w:szCs w:val="22"/>
        </w:rPr>
      </w:pPr>
    </w:p>
    <w:p w:rsidR="00DF731E" w:rsidRPr="00811E5A" w:rsidRDefault="00DF731E" w:rsidP="00DF731E">
      <w:pPr>
        <w:ind w:left="270"/>
        <w:rPr>
          <w:sz w:val="22"/>
          <w:szCs w:val="22"/>
        </w:rPr>
      </w:pPr>
      <w:r w:rsidRPr="00811E5A">
        <w:rPr>
          <w:sz w:val="22"/>
          <w:szCs w:val="22"/>
        </w:rPr>
        <w:t>Borrowing in one year for one year means borrowing starting at time 2 and ending at time 4.</w:t>
      </w:r>
    </w:p>
    <w:p w:rsidR="00DF731E" w:rsidRPr="00811E5A" w:rsidRDefault="00DF731E" w:rsidP="00DF731E">
      <w:pPr>
        <w:ind w:left="270"/>
        <w:rPr>
          <w:sz w:val="22"/>
          <w:szCs w:val="22"/>
        </w:rPr>
      </w:pPr>
      <w:r w:rsidRPr="00811E5A">
        <w:rPr>
          <w:sz w:val="22"/>
          <w:szCs w:val="22"/>
        </w:rPr>
        <w:t xml:space="preserve">A =2 and B = 4 so we need to compute </w:t>
      </w:r>
      <w:r w:rsidRPr="00811E5A">
        <w:rPr>
          <w:i/>
          <w:sz w:val="22"/>
          <w:szCs w:val="22"/>
        </w:rPr>
        <w:t>f</w:t>
      </w:r>
      <w:r w:rsidRPr="00811E5A">
        <w:rPr>
          <w:sz w:val="22"/>
          <w:szCs w:val="22"/>
          <w:vertAlign w:val="subscript"/>
        </w:rPr>
        <w:t>2,4</w:t>
      </w:r>
      <w:r w:rsidRPr="00811E5A">
        <w:rPr>
          <w:sz w:val="22"/>
          <w:szCs w:val="22"/>
        </w:rPr>
        <w:t xml:space="preserve">. </w:t>
      </w:r>
    </w:p>
    <w:p w:rsidR="00DF731E" w:rsidRPr="00811E5A" w:rsidRDefault="00DF731E" w:rsidP="00DF731E">
      <w:pPr>
        <w:ind w:firstLine="270"/>
        <w:rPr>
          <w:i/>
          <w:sz w:val="22"/>
          <w:szCs w:val="22"/>
        </w:rPr>
      </w:pPr>
    </w:p>
    <w:p w:rsidR="00DF731E" w:rsidRPr="00811E5A" w:rsidRDefault="00DF731E" w:rsidP="00DF731E">
      <w:pPr>
        <w:ind w:firstLine="270"/>
        <w:rPr>
          <w:sz w:val="22"/>
          <w:szCs w:val="22"/>
        </w:rPr>
      </w:pPr>
      <w:r w:rsidRPr="00811E5A">
        <w:rPr>
          <w:i/>
          <w:sz w:val="22"/>
          <w:szCs w:val="22"/>
        </w:rPr>
        <w:t>f</w:t>
      </w:r>
      <w:r w:rsidRPr="00811E5A">
        <w:rPr>
          <w:i/>
          <w:sz w:val="22"/>
          <w:szCs w:val="22"/>
          <w:vertAlign w:val="subscript"/>
        </w:rPr>
        <w:t>A,B</w:t>
      </w:r>
      <w:r w:rsidRPr="00811E5A">
        <w:rPr>
          <w:sz w:val="22"/>
          <w:szCs w:val="22"/>
        </w:rPr>
        <w:t xml:space="preserve"> = [(1 + z</w:t>
      </w:r>
      <w:r w:rsidRPr="00811E5A">
        <w:rPr>
          <w:sz w:val="22"/>
          <w:szCs w:val="22"/>
          <w:vertAlign w:val="subscript"/>
        </w:rPr>
        <w:t>B</w:t>
      </w:r>
      <w:r w:rsidRPr="00811E5A">
        <w:rPr>
          <w:sz w:val="22"/>
          <w:szCs w:val="22"/>
        </w:rPr>
        <w:t>)</w:t>
      </w:r>
      <w:r w:rsidRPr="00811E5A">
        <w:rPr>
          <w:sz w:val="22"/>
          <w:szCs w:val="22"/>
          <w:vertAlign w:val="superscript"/>
        </w:rPr>
        <w:t>B</w:t>
      </w:r>
      <w:r w:rsidRPr="00811E5A">
        <w:rPr>
          <w:sz w:val="22"/>
          <w:szCs w:val="22"/>
        </w:rPr>
        <w:t>/(1 + z</w:t>
      </w:r>
      <w:r w:rsidRPr="00811E5A">
        <w:rPr>
          <w:sz w:val="22"/>
          <w:szCs w:val="22"/>
          <w:vertAlign w:val="subscript"/>
        </w:rPr>
        <w:t>A</w:t>
      </w:r>
      <w:r w:rsidRPr="00811E5A">
        <w:rPr>
          <w:sz w:val="22"/>
          <w:szCs w:val="22"/>
        </w:rPr>
        <w:t>)</w:t>
      </w:r>
      <w:r w:rsidRPr="00811E5A">
        <w:rPr>
          <w:sz w:val="22"/>
          <w:szCs w:val="22"/>
          <w:vertAlign w:val="superscript"/>
        </w:rPr>
        <w:t>A</w:t>
      </w:r>
      <w:r w:rsidRPr="00811E5A">
        <w:rPr>
          <w:sz w:val="22"/>
          <w:szCs w:val="22"/>
        </w:rPr>
        <w:t>]</w:t>
      </w:r>
      <w:r w:rsidRPr="00811E5A">
        <w:rPr>
          <w:sz w:val="22"/>
          <w:szCs w:val="22"/>
          <w:vertAlign w:val="superscript"/>
        </w:rPr>
        <w:t>1/(B – A)</w:t>
      </w:r>
      <w:r w:rsidRPr="00811E5A">
        <w:rPr>
          <w:sz w:val="22"/>
          <w:szCs w:val="22"/>
        </w:rPr>
        <w:t xml:space="preserve"> – 1 </w:t>
      </w:r>
    </w:p>
    <w:p w:rsidR="00DF731E" w:rsidRPr="00811E5A" w:rsidRDefault="00DF731E" w:rsidP="00DF731E">
      <w:pPr>
        <w:ind w:left="270"/>
        <w:rPr>
          <w:sz w:val="22"/>
          <w:szCs w:val="22"/>
        </w:rPr>
      </w:pPr>
      <w:r w:rsidRPr="00811E5A">
        <w:rPr>
          <w:i/>
          <w:sz w:val="22"/>
          <w:szCs w:val="22"/>
        </w:rPr>
        <w:t>f</w:t>
      </w:r>
      <w:r w:rsidRPr="00811E5A">
        <w:rPr>
          <w:i/>
          <w:sz w:val="22"/>
          <w:szCs w:val="22"/>
          <w:vertAlign w:val="subscript"/>
        </w:rPr>
        <w:t>2,4</w:t>
      </w:r>
      <w:r w:rsidRPr="00811E5A">
        <w:rPr>
          <w:sz w:val="22"/>
          <w:szCs w:val="22"/>
        </w:rPr>
        <w:t xml:space="preserve"> = [(1 + 0.0</w:t>
      </w:r>
      <w:r>
        <w:rPr>
          <w:sz w:val="22"/>
          <w:szCs w:val="22"/>
        </w:rPr>
        <w:t>3</w:t>
      </w:r>
      <w:r w:rsidRPr="00811E5A">
        <w:rPr>
          <w:sz w:val="22"/>
          <w:szCs w:val="22"/>
        </w:rPr>
        <w:t>/2)</w:t>
      </w:r>
      <w:r w:rsidRPr="00811E5A">
        <w:rPr>
          <w:sz w:val="22"/>
          <w:szCs w:val="22"/>
          <w:vertAlign w:val="superscript"/>
        </w:rPr>
        <w:t>4</w:t>
      </w:r>
      <w:r w:rsidRPr="00811E5A">
        <w:rPr>
          <w:sz w:val="22"/>
          <w:szCs w:val="22"/>
        </w:rPr>
        <w:t>/(1 + 0.0</w:t>
      </w:r>
      <w:r>
        <w:rPr>
          <w:sz w:val="22"/>
          <w:szCs w:val="22"/>
        </w:rPr>
        <w:t>4</w:t>
      </w:r>
      <w:r w:rsidRPr="00811E5A">
        <w:rPr>
          <w:sz w:val="22"/>
          <w:szCs w:val="22"/>
        </w:rPr>
        <w:t>/2)</w:t>
      </w:r>
      <w:r w:rsidRPr="00811E5A">
        <w:rPr>
          <w:sz w:val="22"/>
          <w:szCs w:val="22"/>
          <w:vertAlign w:val="superscript"/>
        </w:rPr>
        <w:t>2</w:t>
      </w:r>
      <w:r w:rsidRPr="00811E5A">
        <w:rPr>
          <w:sz w:val="22"/>
          <w:szCs w:val="22"/>
        </w:rPr>
        <w:t>]</w:t>
      </w:r>
      <w:r w:rsidRPr="00811E5A">
        <w:rPr>
          <w:sz w:val="22"/>
          <w:szCs w:val="22"/>
          <w:vertAlign w:val="superscript"/>
        </w:rPr>
        <w:t>1/(4 – 2)</w:t>
      </w:r>
      <w:r w:rsidRPr="00811E5A">
        <w:rPr>
          <w:sz w:val="22"/>
          <w:szCs w:val="22"/>
        </w:rPr>
        <w:t xml:space="preserve"> – 1 = [1.0</w:t>
      </w:r>
      <w:r>
        <w:rPr>
          <w:sz w:val="22"/>
          <w:szCs w:val="22"/>
        </w:rPr>
        <w:t>15</w:t>
      </w:r>
      <w:r w:rsidRPr="00811E5A">
        <w:rPr>
          <w:sz w:val="22"/>
          <w:szCs w:val="22"/>
          <w:vertAlign w:val="superscript"/>
        </w:rPr>
        <w:t>4</w:t>
      </w:r>
      <w:r w:rsidRPr="00811E5A">
        <w:rPr>
          <w:sz w:val="22"/>
          <w:szCs w:val="22"/>
        </w:rPr>
        <w:t>/1.0</w:t>
      </w:r>
      <w:r>
        <w:rPr>
          <w:sz w:val="22"/>
          <w:szCs w:val="22"/>
        </w:rPr>
        <w:t>2</w:t>
      </w:r>
      <w:r w:rsidRPr="00811E5A">
        <w:rPr>
          <w:sz w:val="22"/>
          <w:szCs w:val="22"/>
          <w:vertAlign w:val="superscript"/>
        </w:rPr>
        <w:t>2</w:t>
      </w:r>
      <w:r w:rsidRPr="00811E5A">
        <w:rPr>
          <w:sz w:val="22"/>
          <w:szCs w:val="22"/>
        </w:rPr>
        <w:t>]</w:t>
      </w:r>
      <w:r w:rsidRPr="00811E5A">
        <w:rPr>
          <w:sz w:val="22"/>
          <w:szCs w:val="22"/>
          <w:vertAlign w:val="superscript"/>
        </w:rPr>
        <w:t>1/2</w:t>
      </w:r>
      <w:r w:rsidRPr="00811E5A">
        <w:rPr>
          <w:sz w:val="22"/>
          <w:szCs w:val="22"/>
        </w:rPr>
        <w:t xml:space="preserve"> – 1 = (1.0</w:t>
      </w:r>
      <w:r>
        <w:rPr>
          <w:sz w:val="22"/>
          <w:szCs w:val="22"/>
        </w:rPr>
        <w:t>614</w:t>
      </w:r>
      <w:r w:rsidRPr="00811E5A">
        <w:rPr>
          <w:sz w:val="22"/>
          <w:szCs w:val="22"/>
        </w:rPr>
        <w:t>/1.0</w:t>
      </w:r>
      <w:r>
        <w:rPr>
          <w:sz w:val="22"/>
          <w:szCs w:val="22"/>
        </w:rPr>
        <w:t>404</w:t>
      </w:r>
      <w:r w:rsidRPr="00811E5A">
        <w:rPr>
          <w:sz w:val="22"/>
          <w:szCs w:val="22"/>
        </w:rPr>
        <w:t>)</w:t>
      </w:r>
      <w:r w:rsidRPr="00811E5A">
        <w:rPr>
          <w:sz w:val="22"/>
          <w:szCs w:val="22"/>
          <w:vertAlign w:val="superscript"/>
        </w:rPr>
        <w:t>1/2</w:t>
      </w:r>
      <w:r w:rsidRPr="00811E5A">
        <w:rPr>
          <w:sz w:val="22"/>
          <w:szCs w:val="22"/>
        </w:rPr>
        <w:t xml:space="preserve"> – 1 </w:t>
      </w:r>
    </w:p>
    <w:p w:rsidR="00DF731E" w:rsidRPr="00811E5A" w:rsidRDefault="00DF731E" w:rsidP="00DF731E">
      <w:pPr>
        <w:ind w:left="270"/>
        <w:rPr>
          <w:sz w:val="22"/>
          <w:szCs w:val="22"/>
        </w:rPr>
      </w:pPr>
      <w:r w:rsidRPr="00811E5A">
        <w:rPr>
          <w:i/>
          <w:sz w:val="22"/>
          <w:szCs w:val="22"/>
        </w:rPr>
        <w:t xml:space="preserve">      </w:t>
      </w:r>
      <w:r w:rsidRPr="00811E5A">
        <w:rPr>
          <w:sz w:val="22"/>
          <w:szCs w:val="22"/>
        </w:rPr>
        <w:t>= 1.0</w:t>
      </w:r>
      <w:r>
        <w:rPr>
          <w:sz w:val="22"/>
          <w:szCs w:val="22"/>
        </w:rPr>
        <w:t>201</w:t>
      </w:r>
      <w:r w:rsidRPr="00811E5A">
        <w:rPr>
          <w:sz w:val="22"/>
          <w:szCs w:val="22"/>
          <w:vertAlign w:val="superscript"/>
        </w:rPr>
        <w:t>1/2</w:t>
      </w:r>
      <w:r w:rsidRPr="00811E5A">
        <w:rPr>
          <w:sz w:val="22"/>
          <w:szCs w:val="22"/>
        </w:rPr>
        <w:t xml:space="preserve"> – 1 = 1.0</w:t>
      </w:r>
      <w:r>
        <w:rPr>
          <w:sz w:val="22"/>
          <w:szCs w:val="22"/>
        </w:rPr>
        <w:t>100</w:t>
      </w:r>
      <w:r w:rsidRPr="00811E5A">
        <w:rPr>
          <w:sz w:val="22"/>
          <w:szCs w:val="22"/>
        </w:rPr>
        <w:t xml:space="preserve"> – 1 = 0.0</w:t>
      </w:r>
      <w:r>
        <w:rPr>
          <w:sz w:val="22"/>
          <w:szCs w:val="22"/>
        </w:rPr>
        <w:t>100</w:t>
      </w:r>
    </w:p>
    <w:p w:rsidR="00DF731E" w:rsidRPr="00811E5A" w:rsidRDefault="00DF731E" w:rsidP="00DF731E">
      <w:pPr>
        <w:ind w:left="270"/>
        <w:rPr>
          <w:sz w:val="22"/>
          <w:szCs w:val="22"/>
        </w:rPr>
      </w:pPr>
      <w:r w:rsidRPr="00811E5A">
        <w:rPr>
          <w:sz w:val="22"/>
          <w:szCs w:val="22"/>
        </w:rPr>
        <w:t>0.0</w:t>
      </w:r>
      <w:r>
        <w:rPr>
          <w:sz w:val="22"/>
          <w:szCs w:val="22"/>
        </w:rPr>
        <w:t>100</w:t>
      </w:r>
      <w:r w:rsidRPr="00811E5A">
        <w:rPr>
          <w:sz w:val="22"/>
          <w:szCs w:val="22"/>
        </w:rPr>
        <w:t xml:space="preserve"> × 2 = </w:t>
      </w:r>
      <w:r>
        <w:rPr>
          <w:sz w:val="22"/>
          <w:szCs w:val="22"/>
        </w:rPr>
        <w:t>2</w:t>
      </w:r>
      <w:r w:rsidRPr="00811E5A">
        <w:rPr>
          <w:sz w:val="22"/>
          <w:szCs w:val="22"/>
        </w:rPr>
        <w:t>.0</w:t>
      </w:r>
      <w:r>
        <w:rPr>
          <w:sz w:val="22"/>
          <w:szCs w:val="22"/>
        </w:rPr>
        <w:t>0</w:t>
      </w:r>
      <w:r w:rsidRPr="00811E5A">
        <w:rPr>
          <w:sz w:val="22"/>
          <w:szCs w:val="22"/>
        </w:rPr>
        <w:t>%</w:t>
      </w:r>
    </w:p>
    <w:p w:rsidR="00DF731E" w:rsidRPr="00811E5A" w:rsidRDefault="00DF731E" w:rsidP="00DF731E">
      <w:pPr>
        <w:ind w:left="270"/>
        <w:rPr>
          <w:sz w:val="22"/>
          <w:szCs w:val="22"/>
        </w:rPr>
      </w:pPr>
    </w:p>
    <w:p w:rsidR="00DF731E" w:rsidRDefault="00DF731E" w:rsidP="00DF731E">
      <w:pPr>
        <w:ind w:left="270"/>
        <w:rPr>
          <w:sz w:val="22"/>
          <w:szCs w:val="22"/>
        </w:rPr>
      </w:pPr>
      <w:r w:rsidRPr="00811E5A">
        <w:rPr>
          <w:sz w:val="22"/>
          <w:szCs w:val="22"/>
        </w:rPr>
        <w:t>This is the implied forward rate “in 1 year for 1 year” or “starting in 1 year and ending in 2 years.”</w:t>
      </w:r>
    </w:p>
    <w:p w:rsidR="00DF731E" w:rsidRDefault="00DF731E" w:rsidP="00DF731E">
      <w:pPr>
        <w:ind w:left="270"/>
        <w:rPr>
          <w:sz w:val="22"/>
          <w:szCs w:val="22"/>
        </w:rPr>
      </w:pPr>
    </w:p>
    <w:p w:rsidR="00DF731E" w:rsidRPr="00811E5A" w:rsidRDefault="00DF731E" w:rsidP="00DF731E">
      <w:pPr>
        <w:pStyle w:val="ListParagraph"/>
        <w:ind w:left="360"/>
        <w:rPr>
          <w:b/>
          <w:sz w:val="22"/>
          <w:szCs w:val="22"/>
        </w:rPr>
      </w:pPr>
    </w:p>
    <w:p w:rsidR="00DF731E" w:rsidRPr="00811E5A" w:rsidRDefault="00DF731E" w:rsidP="00DF731E">
      <w:pPr>
        <w:numPr>
          <w:ilvl w:val="0"/>
          <w:numId w:val="24"/>
        </w:numPr>
        <w:rPr>
          <w:b/>
          <w:sz w:val="22"/>
          <w:szCs w:val="22"/>
        </w:rPr>
      </w:pPr>
      <w:r w:rsidRPr="00811E5A">
        <w:rPr>
          <w:b/>
          <w:sz w:val="22"/>
          <w:szCs w:val="22"/>
        </w:rPr>
        <w:t>Compare your answer in part (a) to the one-year spot zero rate. Is it higher or lower?</w:t>
      </w:r>
    </w:p>
    <w:p w:rsidR="00DF731E" w:rsidRPr="00FF6B8D" w:rsidRDefault="00DF731E" w:rsidP="00DF731E">
      <w:pPr>
        <w:ind w:left="360"/>
        <w:rPr>
          <w:b/>
          <w:sz w:val="22"/>
          <w:szCs w:val="22"/>
        </w:rPr>
      </w:pPr>
    </w:p>
    <w:p w:rsidR="00DF731E" w:rsidRDefault="00DF731E" w:rsidP="00DF731E">
      <w:pPr>
        <w:ind w:firstLine="360"/>
        <w:rPr>
          <w:sz w:val="22"/>
          <w:szCs w:val="22"/>
        </w:rPr>
      </w:pPr>
      <w:r w:rsidRPr="00FF6B8D">
        <w:rPr>
          <w:sz w:val="22"/>
          <w:szCs w:val="22"/>
        </w:rPr>
        <w:t xml:space="preserve">Spot zero one-year rate is </w:t>
      </w:r>
      <w:r>
        <w:rPr>
          <w:sz w:val="22"/>
          <w:szCs w:val="22"/>
        </w:rPr>
        <w:t>4</w:t>
      </w:r>
      <w:r w:rsidRPr="00FF6B8D">
        <w:rPr>
          <w:sz w:val="22"/>
          <w:szCs w:val="22"/>
        </w:rPr>
        <w:t xml:space="preserve">.00%. </w:t>
      </w:r>
    </w:p>
    <w:p w:rsidR="00DF731E" w:rsidRDefault="00DF731E" w:rsidP="00DF731E">
      <w:pPr>
        <w:ind w:firstLine="360"/>
        <w:rPr>
          <w:sz w:val="22"/>
          <w:szCs w:val="22"/>
        </w:rPr>
      </w:pPr>
      <w:r>
        <w:rPr>
          <w:sz w:val="22"/>
          <w:szCs w:val="22"/>
        </w:rPr>
        <w:t>One-year forward one-year rate is 2.00%</w:t>
      </w:r>
    </w:p>
    <w:p w:rsidR="00DF731E" w:rsidRPr="00FF6B8D" w:rsidRDefault="00DF731E" w:rsidP="00DF731E">
      <w:pPr>
        <w:ind w:firstLine="360"/>
        <w:rPr>
          <w:sz w:val="22"/>
          <w:szCs w:val="22"/>
        </w:rPr>
      </w:pPr>
      <w:r>
        <w:rPr>
          <w:sz w:val="22"/>
          <w:szCs w:val="22"/>
        </w:rPr>
        <w:t>The</w:t>
      </w:r>
      <w:r w:rsidRPr="00FF6B8D">
        <w:rPr>
          <w:sz w:val="22"/>
          <w:szCs w:val="22"/>
        </w:rPr>
        <w:t xml:space="preserve"> one-year </w:t>
      </w:r>
      <w:r>
        <w:rPr>
          <w:sz w:val="22"/>
          <w:szCs w:val="22"/>
        </w:rPr>
        <w:t xml:space="preserve">forward </w:t>
      </w:r>
      <w:r w:rsidRPr="00FF6B8D">
        <w:rPr>
          <w:sz w:val="22"/>
          <w:szCs w:val="22"/>
        </w:rPr>
        <w:t xml:space="preserve">rate in </w:t>
      </w:r>
      <w:r>
        <w:rPr>
          <w:sz w:val="22"/>
          <w:szCs w:val="22"/>
        </w:rPr>
        <w:t>one year is lower.</w:t>
      </w:r>
    </w:p>
    <w:p w:rsidR="00DF731E" w:rsidRDefault="00DF731E" w:rsidP="00DF731E">
      <w:pPr>
        <w:rPr>
          <w:b/>
          <w:sz w:val="22"/>
          <w:szCs w:val="22"/>
        </w:rPr>
      </w:pPr>
    </w:p>
    <w:p w:rsidR="00DF731E" w:rsidRPr="00811E5A" w:rsidRDefault="00DF731E" w:rsidP="00DF731E">
      <w:pPr>
        <w:numPr>
          <w:ilvl w:val="0"/>
          <w:numId w:val="23"/>
        </w:numPr>
        <w:rPr>
          <w:b/>
          <w:sz w:val="22"/>
          <w:szCs w:val="22"/>
        </w:rPr>
      </w:pPr>
      <w:r>
        <w:rPr>
          <w:b/>
          <w:sz w:val="22"/>
          <w:szCs w:val="22"/>
        </w:rPr>
        <w:t>An</w:t>
      </w:r>
      <w:r w:rsidRPr="00811E5A">
        <w:rPr>
          <w:b/>
          <w:sz w:val="22"/>
          <w:szCs w:val="22"/>
        </w:rPr>
        <w:t xml:space="preserve"> opinion in a financial blog post states </w:t>
      </w:r>
      <w:r>
        <w:rPr>
          <w:b/>
          <w:sz w:val="22"/>
          <w:szCs w:val="22"/>
        </w:rPr>
        <w:t xml:space="preserve">the current inverted term structure (shown in the table for this question) is function of both expected future rates and liabilities associated with the managed bond portfolio. </w:t>
      </w:r>
      <w:r w:rsidRPr="00811E5A">
        <w:rPr>
          <w:b/>
          <w:sz w:val="22"/>
          <w:szCs w:val="22"/>
        </w:rPr>
        <w:t xml:space="preserve">To which of the Term Structure Theories does this writer subscribe? </w:t>
      </w:r>
      <w:r w:rsidRPr="00811E5A">
        <w:rPr>
          <w:b/>
          <w:i/>
          <w:sz w:val="22"/>
          <w:szCs w:val="22"/>
        </w:rPr>
        <w:t>EXPLAIN</w:t>
      </w:r>
      <w:r w:rsidRPr="00811E5A">
        <w:rPr>
          <w:b/>
          <w:sz w:val="22"/>
          <w:szCs w:val="22"/>
        </w:rPr>
        <w:t>.</w:t>
      </w:r>
    </w:p>
    <w:p w:rsidR="00DF731E" w:rsidRPr="00811E5A" w:rsidRDefault="00DF731E" w:rsidP="00DF731E">
      <w:pPr>
        <w:ind w:left="360"/>
        <w:rPr>
          <w:sz w:val="22"/>
          <w:szCs w:val="22"/>
        </w:rPr>
      </w:pPr>
    </w:p>
    <w:p w:rsidR="00DF731E" w:rsidRDefault="00DF731E" w:rsidP="00DF731E">
      <w:pPr>
        <w:ind w:left="360"/>
        <w:rPr>
          <w:sz w:val="22"/>
          <w:szCs w:val="22"/>
        </w:rPr>
      </w:pPr>
      <w:r w:rsidRPr="00C967C6">
        <w:rPr>
          <w:sz w:val="22"/>
          <w:szCs w:val="22"/>
        </w:rPr>
        <w:t>Preferred Habitat Theory</w:t>
      </w:r>
      <w:r w:rsidRPr="00FF6B8D">
        <w:rPr>
          <w:sz w:val="22"/>
          <w:szCs w:val="22"/>
        </w:rPr>
        <w:t xml:space="preserve">. Current prices and yields (and therefore implied spot rates and implied forward rates) </w:t>
      </w:r>
      <w:r w:rsidRPr="00C967C6">
        <w:rPr>
          <w:sz w:val="22"/>
          <w:szCs w:val="22"/>
        </w:rPr>
        <w:t xml:space="preserve">are </w:t>
      </w:r>
      <w:r w:rsidRPr="00C967C6">
        <w:rPr>
          <w:b/>
          <w:i/>
          <w:sz w:val="22"/>
          <w:szCs w:val="22"/>
        </w:rPr>
        <w:t>not an unbiased estimate of the market’s expectations</w:t>
      </w:r>
      <w:r w:rsidRPr="00C967C6">
        <w:rPr>
          <w:sz w:val="22"/>
          <w:szCs w:val="22"/>
        </w:rPr>
        <w:t xml:space="preserve"> of future interest rates</w:t>
      </w:r>
      <w:r>
        <w:rPr>
          <w:sz w:val="22"/>
          <w:szCs w:val="22"/>
        </w:rPr>
        <w:t>. P</w:t>
      </w:r>
      <w:r w:rsidRPr="00C967C6">
        <w:rPr>
          <w:sz w:val="22"/>
          <w:szCs w:val="22"/>
        </w:rPr>
        <w:t>rices of current bonds (and therefore the yields</w:t>
      </w:r>
      <w:r>
        <w:rPr>
          <w:sz w:val="22"/>
          <w:szCs w:val="22"/>
        </w:rPr>
        <w:t xml:space="preserve"> and implied forward rates</w:t>
      </w:r>
      <w:r w:rsidRPr="00C967C6">
        <w:rPr>
          <w:sz w:val="22"/>
          <w:szCs w:val="22"/>
        </w:rPr>
        <w:t>) are affected by supply and demand for specific maturities.</w:t>
      </w:r>
    </w:p>
    <w:p w:rsidR="00DF731E" w:rsidRDefault="00DF731E" w:rsidP="00DF731E">
      <w:pPr>
        <w:ind w:left="360"/>
        <w:rPr>
          <w:sz w:val="22"/>
          <w:szCs w:val="22"/>
        </w:rPr>
      </w:pPr>
    </w:p>
    <w:p w:rsidR="00DF731E" w:rsidRPr="00486172" w:rsidRDefault="00DF731E" w:rsidP="00DF731E">
      <w:pPr>
        <w:ind w:left="360"/>
        <w:rPr>
          <w:sz w:val="22"/>
          <w:szCs w:val="22"/>
        </w:rPr>
      </w:pPr>
      <w:r>
        <w:rPr>
          <w:sz w:val="22"/>
          <w:szCs w:val="22"/>
        </w:rPr>
        <w:t>The implication is the bond portfolio managers moved “out the curve” from short maturity to long maturity not just because of economic expectations, but because of specific liabilities.</w:t>
      </w:r>
    </w:p>
    <w:p w:rsidR="00BD30C9" w:rsidRDefault="00BD30C9" w:rsidP="00BD30C9">
      <w:pPr>
        <w:ind w:left="270"/>
        <w:rPr>
          <w:rFonts w:ascii="Comic Sans MS" w:hAnsi="Comic Sans MS"/>
          <w:color w:val="0000FF"/>
          <w:sz w:val="22"/>
          <w:szCs w:val="22"/>
        </w:rPr>
      </w:pPr>
    </w:p>
    <w:p w:rsidR="002B3AB7" w:rsidRDefault="002B3AB7" w:rsidP="00DF731E">
      <w:pPr>
        <w:pStyle w:val="ListParagraph"/>
        <w:numPr>
          <w:ilvl w:val="0"/>
          <w:numId w:val="26"/>
        </w:numPr>
        <w:rPr>
          <w:b/>
          <w:sz w:val="22"/>
          <w:szCs w:val="22"/>
        </w:rPr>
      </w:pPr>
      <w:r>
        <w:rPr>
          <w:b/>
          <w:sz w:val="22"/>
          <w:szCs w:val="22"/>
        </w:rPr>
        <w:t>Describe the following</w:t>
      </w:r>
      <w:r w:rsidR="004F134C">
        <w:rPr>
          <w:b/>
          <w:sz w:val="22"/>
          <w:szCs w:val="22"/>
        </w:rPr>
        <w:t xml:space="preserve"> rate curves</w:t>
      </w:r>
      <w:r>
        <w:rPr>
          <w:b/>
          <w:sz w:val="22"/>
          <w:szCs w:val="22"/>
        </w:rPr>
        <w:t>:</w:t>
      </w:r>
    </w:p>
    <w:p w:rsidR="002B3AB7" w:rsidRDefault="002B3AB7" w:rsidP="002B3AB7">
      <w:pPr>
        <w:rPr>
          <w:b/>
          <w:sz w:val="22"/>
          <w:szCs w:val="22"/>
        </w:rPr>
      </w:pPr>
    </w:p>
    <w:p w:rsidR="002B3AB7" w:rsidRDefault="002B3AB7" w:rsidP="002B3AB7">
      <w:pPr>
        <w:rPr>
          <w:b/>
          <w:sz w:val="22"/>
          <w:szCs w:val="22"/>
        </w:rPr>
      </w:pPr>
      <w:r>
        <w:rPr>
          <w:b/>
          <w:sz w:val="22"/>
          <w:szCs w:val="22"/>
        </w:rPr>
        <w:t xml:space="preserve">A Yield Curve: </w:t>
      </w:r>
    </w:p>
    <w:p w:rsidR="004F37B4" w:rsidRDefault="004F37B4" w:rsidP="002B3AB7">
      <w:pPr>
        <w:rPr>
          <w:sz w:val="22"/>
          <w:szCs w:val="22"/>
        </w:rPr>
      </w:pPr>
    </w:p>
    <w:p w:rsidR="002B3AB7" w:rsidRDefault="002B3AB7" w:rsidP="002B3AB7">
      <w:pPr>
        <w:rPr>
          <w:sz w:val="22"/>
          <w:szCs w:val="22"/>
        </w:rPr>
      </w:pPr>
      <w:r w:rsidRPr="002B3AB7">
        <w:rPr>
          <w:sz w:val="22"/>
          <w:szCs w:val="22"/>
        </w:rPr>
        <w:t xml:space="preserve">A chart with </w:t>
      </w:r>
      <w:r>
        <w:rPr>
          <w:sz w:val="22"/>
          <w:szCs w:val="22"/>
        </w:rPr>
        <w:t xml:space="preserve">maturity on the X-axis and </w:t>
      </w:r>
      <w:r w:rsidRPr="002B3AB7">
        <w:rPr>
          <w:sz w:val="22"/>
          <w:szCs w:val="22"/>
        </w:rPr>
        <w:t xml:space="preserve">yields to maturity on the </w:t>
      </w:r>
      <w:r>
        <w:rPr>
          <w:sz w:val="22"/>
          <w:szCs w:val="22"/>
        </w:rPr>
        <w:t>Y</w:t>
      </w:r>
      <w:r w:rsidRPr="002B3AB7">
        <w:rPr>
          <w:sz w:val="22"/>
          <w:szCs w:val="22"/>
        </w:rPr>
        <w:t>-axis</w:t>
      </w:r>
      <w:r>
        <w:rPr>
          <w:sz w:val="22"/>
          <w:szCs w:val="22"/>
        </w:rPr>
        <w:t xml:space="preserve">. All the bond yields depicted on the curve are similar. For example, all AAA corporate or all BBB munis. If the bond yields depicted on the curve are for the on-the-run treasuries, then it is The Yield Curve. </w:t>
      </w:r>
    </w:p>
    <w:p w:rsidR="002B3AB7" w:rsidRDefault="002B3AB7" w:rsidP="002B3AB7">
      <w:pPr>
        <w:rPr>
          <w:sz w:val="22"/>
          <w:szCs w:val="22"/>
        </w:rPr>
      </w:pPr>
    </w:p>
    <w:p w:rsidR="002B3AB7" w:rsidRDefault="002B3AB7" w:rsidP="002B3AB7">
      <w:pPr>
        <w:rPr>
          <w:b/>
          <w:sz w:val="22"/>
          <w:szCs w:val="22"/>
        </w:rPr>
      </w:pPr>
      <w:r>
        <w:rPr>
          <w:b/>
          <w:sz w:val="22"/>
          <w:szCs w:val="22"/>
        </w:rPr>
        <w:t xml:space="preserve">The Yield Curve: </w:t>
      </w:r>
    </w:p>
    <w:p w:rsidR="004F37B4" w:rsidRDefault="004F37B4" w:rsidP="002B3AB7">
      <w:pPr>
        <w:rPr>
          <w:sz w:val="22"/>
          <w:szCs w:val="22"/>
        </w:rPr>
      </w:pPr>
    </w:p>
    <w:p w:rsidR="002B3AB7" w:rsidRDefault="002B3AB7" w:rsidP="002B3AB7">
      <w:pPr>
        <w:rPr>
          <w:sz w:val="22"/>
          <w:szCs w:val="22"/>
        </w:rPr>
      </w:pPr>
      <w:r w:rsidRPr="002B3AB7">
        <w:rPr>
          <w:sz w:val="22"/>
          <w:szCs w:val="22"/>
        </w:rPr>
        <w:t xml:space="preserve">A chart with </w:t>
      </w:r>
      <w:r>
        <w:rPr>
          <w:sz w:val="22"/>
          <w:szCs w:val="22"/>
        </w:rPr>
        <w:t xml:space="preserve">maturity on the X-axis and </w:t>
      </w:r>
      <w:r w:rsidRPr="002B3AB7">
        <w:rPr>
          <w:sz w:val="22"/>
          <w:szCs w:val="22"/>
        </w:rPr>
        <w:t xml:space="preserve">yields to maturity </w:t>
      </w:r>
      <w:r>
        <w:rPr>
          <w:sz w:val="22"/>
          <w:szCs w:val="22"/>
        </w:rPr>
        <w:t>for on-the-run treasuries on the Y</w:t>
      </w:r>
      <w:r w:rsidRPr="002B3AB7">
        <w:rPr>
          <w:sz w:val="22"/>
          <w:szCs w:val="22"/>
        </w:rPr>
        <w:t>-axis</w:t>
      </w:r>
      <w:r>
        <w:rPr>
          <w:sz w:val="22"/>
          <w:szCs w:val="22"/>
        </w:rPr>
        <w:t>.</w:t>
      </w:r>
    </w:p>
    <w:p w:rsidR="004F37B4" w:rsidRDefault="004F37B4" w:rsidP="002B3AB7">
      <w:pPr>
        <w:rPr>
          <w:b/>
          <w:sz w:val="22"/>
          <w:szCs w:val="22"/>
        </w:rPr>
      </w:pPr>
    </w:p>
    <w:p w:rsidR="002B3AB7" w:rsidRPr="002B3AB7" w:rsidRDefault="002B3AB7" w:rsidP="002B3AB7">
      <w:pPr>
        <w:rPr>
          <w:b/>
          <w:sz w:val="22"/>
          <w:szCs w:val="22"/>
        </w:rPr>
      </w:pPr>
      <w:r w:rsidRPr="002B3AB7">
        <w:rPr>
          <w:b/>
          <w:sz w:val="22"/>
          <w:szCs w:val="22"/>
        </w:rPr>
        <w:t>Spot Zero Curve</w:t>
      </w:r>
    </w:p>
    <w:p w:rsidR="004F37B4" w:rsidRDefault="004F37B4" w:rsidP="002B3AB7">
      <w:pPr>
        <w:rPr>
          <w:sz w:val="22"/>
          <w:szCs w:val="22"/>
        </w:rPr>
      </w:pPr>
    </w:p>
    <w:p w:rsidR="002B3AB7" w:rsidRDefault="002B3AB7" w:rsidP="002B3AB7">
      <w:pPr>
        <w:rPr>
          <w:sz w:val="22"/>
          <w:szCs w:val="22"/>
        </w:rPr>
      </w:pPr>
      <w:r w:rsidRPr="002B3AB7">
        <w:rPr>
          <w:sz w:val="22"/>
          <w:szCs w:val="22"/>
        </w:rPr>
        <w:t xml:space="preserve">A chart with </w:t>
      </w:r>
      <w:r>
        <w:rPr>
          <w:sz w:val="22"/>
          <w:szCs w:val="22"/>
        </w:rPr>
        <w:t xml:space="preserve">maturity on the X-axis and </w:t>
      </w:r>
      <w:r w:rsidRPr="002B3AB7">
        <w:rPr>
          <w:sz w:val="22"/>
          <w:szCs w:val="22"/>
        </w:rPr>
        <w:t xml:space="preserve">yields </w:t>
      </w:r>
      <w:r>
        <w:rPr>
          <w:sz w:val="22"/>
          <w:szCs w:val="22"/>
        </w:rPr>
        <w:t xml:space="preserve">for </w:t>
      </w:r>
      <w:r w:rsidR="00B47D25">
        <w:rPr>
          <w:sz w:val="22"/>
          <w:szCs w:val="22"/>
        </w:rPr>
        <w:t xml:space="preserve">any </w:t>
      </w:r>
      <w:r>
        <w:rPr>
          <w:sz w:val="22"/>
          <w:szCs w:val="22"/>
        </w:rPr>
        <w:t>pure-discount zero-coupon instruments on the Y</w:t>
      </w:r>
      <w:r w:rsidRPr="002B3AB7">
        <w:rPr>
          <w:sz w:val="22"/>
          <w:szCs w:val="22"/>
        </w:rPr>
        <w:t>-axis</w:t>
      </w:r>
      <w:r>
        <w:rPr>
          <w:sz w:val="22"/>
          <w:szCs w:val="22"/>
        </w:rPr>
        <w:t xml:space="preserve">. These rates are available today so they are called “spot” rates. For example, the </w:t>
      </w:r>
      <w:r w:rsidR="00B47D25">
        <w:rPr>
          <w:sz w:val="22"/>
          <w:szCs w:val="22"/>
        </w:rPr>
        <w:t xml:space="preserve">curve might depict the market yields for </w:t>
      </w:r>
      <w:r>
        <w:rPr>
          <w:sz w:val="22"/>
          <w:szCs w:val="22"/>
        </w:rPr>
        <w:t>Treasury STRIPS</w:t>
      </w:r>
      <w:r w:rsidR="00B47D25">
        <w:rPr>
          <w:sz w:val="22"/>
          <w:szCs w:val="22"/>
        </w:rPr>
        <w:t>.</w:t>
      </w:r>
    </w:p>
    <w:p w:rsidR="002B3AB7" w:rsidRDefault="002B3AB7" w:rsidP="002B3AB7">
      <w:pPr>
        <w:rPr>
          <w:b/>
          <w:sz w:val="22"/>
          <w:szCs w:val="22"/>
        </w:rPr>
      </w:pPr>
    </w:p>
    <w:p w:rsidR="002B3AB7" w:rsidRPr="002B3AB7" w:rsidRDefault="002B3AB7" w:rsidP="002B3AB7">
      <w:pPr>
        <w:rPr>
          <w:b/>
          <w:sz w:val="22"/>
          <w:szCs w:val="22"/>
        </w:rPr>
      </w:pPr>
      <w:r>
        <w:rPr>
          <w:b/>
          <w:sz w:val="22"/>
          <w:szCs w:val="22"/>
        </w:rPr>
        <w:t xml:space="preserve">Theoretical </w:t>
      </w:r>
      <w:r w:rsidRPr="002B3AB7">
        <w:rPr>
          <w:b/>
          <w:sz w:val="22"/>
          <w:szCs w:val="22"/>
        </w:rPr>
        <w:t>Spot Zero Curve</w:t>
      </w:r>
    </w:p>
    <w:p w:rsidR="004F37B4" w:rsidRDefault="004F37B4" w:rsidP="002B3AB7">
      <w:pPr>
        <w:rPr>
          <w:sz w:val="22"/>
          <w:szCs w:val="22"/>
        </w:rPr>
      </w:pPr>
    </w:p>
    <w:p w:rsidR="002B3AB7" w:rsidRDefault="002B3AB7" w:rsidP="002B3AB7">
      <w:pPr>
        <w:rPr>
          <w:sz w:val="22"/>
          <w:szCs w:val="22"/>
        </w:rPr>
      </w:pPr>
      <w:r w:rsidRPr="002B3AB7">
        <w:rPr>
          <w:sz w:val="22"/>
          <w:szCs w:val="22"/>
        </w:rPr>
        <w:t xml:space="preserve">A chart with </w:t>
      </w:r>
      <w:r>
        <w:rPr>
          <w:sz w:val="22"/>
          <w:szCs w:val="22"/>
        </w:rPr>
        <w:t xml:space="preserve">maturity on the X-axis and </w:t>
      </w:r>
      <w:r w:rsidRPr="002B3AB7">
        <w:rPr>
          <w:sz w:val="22"/>
          <w:szCs w:val="22"/>
        </w:rPr>
        <w:t xml:space="preserve">yields </w:t>
      </w:r>
      <w:r>
        <w:rPr>
          <w:sz w:val="22"/>
          <w:szCs w:val="22"/>
        </w:rPr>
        <w:t xml:space="preserve">for theoretical zero-coupon </w:t>
      </w:r>
      <w:r w:rsidR="00B47D25">
        <w:rPr>
          <w:sz w:val="22"/>
          <w:szCs w:val="22"/>
        </w:rPr>
        <w:t>T</w:t>
      </w:r>
      <w:r>
        <w:rPr>
          <w:sz w:val="22"/>
          <w:szCs w:val="22"/>
        </w:rPr>
        <w:t>reasury instruments on the Y</w:t>
      </w:r>
      <w:r w:rsidRPr="002B3AB7">
        <w:rPr>
          <w:sz w:val="22"/>
          <w:szCs w:val="22"/>
        </w:rPr>
        <w:t>-axis</w:t>
      </w:r>
      <w:r>
        <w:rPr>
          <w:sz w:val="22"/>
          <w:szCs w:val="22"/>
        </w:rPr>
        <w:t>.</w:t>
      </w:r>
      <w:r w:rsidR="00B47D25">
        <w:rPr>
          <w:sz w:val="22"/>
          <w:szCs w:val="22"/>
        </w:rPr>
        <w:t xml:space="preserve"> These rates are theoretical because the y are calculated using the YTMs and prices of on-the-run Treasuries using the “bootstrap” method. We would expect the theoretical spot zero rates to be lower than the Treasury STRIPS zero curve because the YTMs for the on-the-run Treasuries do not contain any liquidity premium. Since Treasury STRIPS are not as liquid as on-the-run Treasuries, the STRIP yields are higher.</w:t>
      </w:r>
    </w:p>
    <w:p w:rsidR="00B47D25" w:rsidRDefault="00B47D25" w:rsidP="002B3AB7">
      <w:pPr>
        <w:rPr>
          <w:sz w:val="22"/>
          <w:szCs w:val="22"/>
        </w:rPr>
      </w:pPr>
    </w:p>
    <w:p w:rsidR="00B47D25" w:rsidRPr="00B47D25" w:rsidRDefault="00B47D25" w:rsidP="002B3AB7">
      <w:pPr>
        <w:rPr>
          <w:b/>
          <w:sz w:val="22"/>
          <w:szCs w:val="22"/>
        </w:rPr>
      </w:pPr>
      <w:r>
        <w:rPr>
          <w:b/>
          <w:sz w:val="22"/>
          <w:szCs w:val="22"/>
        </w:rPr>
        <w:t>Implied Forward Rate Curve</w:t>
      </w:r>
    </w:p>
    <w:p w:rsidR="004F37B4" w:rsidRDefault="004F37B4" w:rsidP="002B3AB7">
      <w:pPr>
        <w:rPr>
          <w:sz w:val="22"/>
          <w:szCs w:val="22"/>
        </w:rPr>
      </w:pPr>
    </w:p>
    <w:p w:rsidR="00B47D25" w:rsidRDefault="00B47D25" w:rsidP="002B3AB7">
      <w:pPr>
        <w:rPr>
          <w:sz w:val="22"/>
          <w:szCs w:val="22"/>
        </w:rPr>
      </w:pPr>
      <w:r w:rsidRPr="002B3AB7">
        <w:rPr>
          <w:sz w:val="22"/>
          <w:szCs w:val="22"/>
        </w:rPr>
        <w:t xml:space="preserve">A chart with </w:t>
      </w:r>
      <w:r>
        <w:rPr>
          <w:sz w:val="22"/>
          <w:szCs w:val="22"/>
        </w:rPr>
        <w:t xml:space="preserve">maturity on the X-axis and </w:t>
      </w:r>
      <w:r w:rsidRPr="002B3AB7">
        <w:rPr>
          <w:sz w:val="22"/>
          <w:szCs w:val="22"/>
        </w:rPr>
        <w:t xml:space="preserve">yields </w:t>
      </w:r>
      <w:r>
        <w:rPr>
          <w:sz w:val="22"/>
          <w:szCs w:val="22"/>
        </w:rPr>
        <w:t>for forward rates Y</w:t>
      </w:r>
      <w:r w:rsidRPr="002B3AB7">
        <w:rPr>
          <w:sz w:val="22"/>
          <w:szCs w:val="22"/>
        </w:rPr>
        <w:t>-axis</w:t>
      </w:r>
      <w:r>
        <w:rPr>
          <w:sz w:val="22"/>
          <w:szCs w:val="22"/>
        </w:rPr>
        <w:t>. Usually all the forward rates on the chart start at the same point in time – for example the six-month rate starting in 1 year, the 1-year rate starting in 1 year, the 1.5-year rate starting in 1 year and so on.</w:t>
      </w:r>
    </w:p>
    <w:p w:rsidR="00B47D25" w:rsidRDefault="00B47D25" w:rsidP="002B3AB7">
      <w:pPr>
        <w:rPr>
          <w:sz w:val="22"/>
          <w:szCs w:val="22"/>
        </w:rPr>
      </w:pPr>
      <w:r>
        <w:rPr>
          <w:sz w:val="22"/>
          <w:szCs w:val="22"/>
        </w:rPr>
        <w:t xml:space="preserve">These are the no-arbitrage “forward rates” </w:t>
      </w:r>
      <w:r w:rsidR="004F134C">
        <w:rPr>
          <w:sz w:val="22"/>
          <w:szCs w:val="22"/>
        </w:rPr>
        <w:t>implied by a set of spot zero rates. For example it might be the Treasury STRIP implied forward rate curve or the Theoretical Spot Zero implied forward curve.</w:t>
      </w:r>
    </w:p>
    <w:p w:rsidR="004F134C" w:rsidRDefault="004F134C" w:rsidP="002B3AB7">
      <w:pPr>
        <w:rPr>
          <w:sz w:val="22"/>
          <w:szCs w:val="22"/>
        </w:rPr>
      </w:pPr>
    </w:p>
    <w:p w:rsidR="004F134C" w:rsidRPr="004F134C" w:rsidRDefault="004F134C" w:rsidP="002B3AB7">
      <w:pPr>
        <w:rPr>
          <w:b/>
          <w:sz w:val="22"/>
          <w:szCs w:val="22"/>
        </w:rPr>
      </w:pPr>
      <w:r w:rsidRPr="004F134C">
        <w:rPr>
          <w:b/>
          <w:sz w:val="22"/>
          <w:szCs w:val="22"/>
        </w:rPr>
        <w:t>Swap Curve</w:t>
      </w:r>
    </w:p>
    <w:p w:rsidR="004F37B4" w:rsidRDefault="004F37B4" w:rsidP="002B3AB7">
      <w:pPr>
        <w:rPr>
          <w:sz w:val="22"/>
          <w:szCs w:val="22"/>
        </w:rPr>
      </w:pPr>
    </w:p>
    <w:p w:rsidR="004F134C" w:rsidRPr="002B3AB7" w:rsidRDefault="004F134C" w:rsidP="002B3AB7">
      <w:pPr>
        <w:rPr>
          <w:sz w:val="22"/>
          <w:szCs w:val="22"/>
        </w:rPr>
      </w:pPr>
      <w:r>
        <w:rPr>
          <w:sz w:val="22"/>
          <w:szCs w:val="22"/>
        </w:rPr>
        <w:t xml:space="preserve">A chart with maturity on the X-axis and </w:t>
      </w:r>
      <w:r w:rsidRPr="004F134C">
        <w:rPr>
          <w:sz w:val="22"/>
          <w:szCs w:val="22"/>
        </w:rPr>
        <w:t xml:space="preserve">fixed coupon rates of market-quoted interest rate swaps </w:t>
      </w:r>
      <w:r>
        <w:rPr>
          <w:sz w:val="22"/>
          <w:szCs w:val="22"/>
        </w:rPr>
        <w:t>on the Y-axis. A swap curve represents rates offered by banks to high-quality market participants.</w:t>
      </w:r>
    </w:p>
    <w:sectPr w:rsidR="004F134C" w:rsidRPr="002B3AB7" w:rsidSect="004F37B4">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D25" w:rsidRDefault="00B47D25" w:rsidP="00110096">
      <w:r>
        <w:separator/>
      </w:r>
    </w:p>
  </w:endnote>
  <w:endnote w:type="continuationSeparator" w:id="0">
    <w:p w:rsidR="00B47D25" w:rsidRDefault="00B47D25" w:rsidP="0011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181541"/>
      <w:docPartObj>
        <w:docPartGallery w:val="Page Numbers (Bottom of Page)"/>
        <w:docPartUnique/>
      </w:docPartObj>
    </w:sdtPr>
    <w:sdtEndPr>
      <w:rPr>
        <w:noProof/>
        <w:sz w:val="22"/>
      </w:rPr>
    </w:sdtEndPr>
    <w:sdtContent>
      <w:p w:rsidR="00B47D25" w:rsidRPr="008D19E6" w:rsidRDefault="00B47D25">
        <w:pPr>
          <w:pStyle w:val="Footer"/>
          <w:jc w:val="center"/>
          <w:rPr>
            <w:sz w:val="22"/>
          </w:rPr>
        </w:pPr>
        <w:r w:rsidRPr="008D19E6">
          <w:rPr>
            <w:sz w:val="22"/>
          </w:rPr>
          <w:fldChar w:fldCharType="begin"/>
        </w:r>
        <w:r w:rsidRPr="008D19E6">
          <w:rPr>
            <w:sz w:val="22"/>
          </w:rPr>
          <w:instrText xml:space="preserve"> PAGE   \* MERGEFORMAT </w:instrText>
        </w:r>
        <w:r w:rsidRPr="008D19E6">
          <w:rPr>
            <w:sz w:val="22"/>
          </w:rPr>
          <w:fldChar w:fldCharType="separate"/>
        </w:r>
        <w:r w:rsidR="00340369">
          <w:rPr>
            <w:noProof/>
            <w:sz w:val="22"/>
          </w:rPr>
          <w:t>2</w:t>
        </w:r>
        <w:r w:rsidRPr="008D19E6">
          <w:rPr>
            <w:noProof/>
            <w:sz w:val="22"/>
          </w:rPr>
          <w:fldChar w:fldCharType="end"/>
        </w:r>
      </w:p>
    </w:sdtContent>
  </w:sdt>
  <w:p w:rsidR="00B47D25" w:rsidRDefault="00B47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D25" w:rsidRDefault="00B47D25" w:rsidP="00110096">
      <w:r>
        <w:separator/>
      </w:r>
    </w:p>
  </w:footnote>
  <w:footnote w:type="continuationSeparator" w:id="0">
    <w:p w:rsidR="00B47D25" w:rsidRDefault="00B47D25" w:rsidP="00110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911"/>
    <w:multiLevelType w:val="hybridMultilevel"/>
    <w:tmpl w:val="0332EF5E"/>
    <w:lvl w:ilvl="0" w:tplc="DFDA455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31194"/>
    <w:multiLevelType w:val="hybridMultilevel"/>
    <w:tmpl w:val="0F20B33A"/>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780801"/>
    <w:multiLevelType w:val="hybridMultilevel"/>
    <w:tmpl w:val="0EDC90C4"/>
    <w:lvl w:ilvl="0" w:tplc="4E6866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88184F"/>
    <w:multiLevelType w:val="hybridMultilevel"/>
    <w:tmpl w:val="737A8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2C5075"/>
    <w:multiLevelType w:val="hybridMultilevel"/>
    <w:tmpl w:val="CC267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4F08B5"/>
    <w:multiLevelType w:val="hybridMultilevel"/>
    <w:tmpl w:val="61F42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F2656E"/>
    <w:multiLevelType w:val="hybridMultilevel"/>
    <w:tmpl w:val="DB722910"/>
    <w:lvl w:ilvl="0" w:tplc="BA3AF6CA">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F6B64"/>
    <w:multiLevelType w:val="hybridMultilevel"/>
    <w:tmpl w:val="7F10F092"/>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B0FF8"/>
    <w:multiLevelType w:val="hybridMultilevel"/>
    <w:tmpl w:val="8CD2FBE0"/>
    <w:lvl w:ilvl="0" w:tplc="4E6866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5E5D5C"/>
    <w:multiLevelType w:val="hybridMultilevel"/>
    <w:tmpl w:val="BE2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A786A"/>
    <w:multiLevelType w:val="hybridMultilevel"/>
    <w:tmpl w:val="7F10F092"/>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95FE3"/>
    <w:multiLevelType w:val="hybridMultilevel"/>
    <w:tmpl w:val="7F10F092"/>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67F34"/>
    <w:multiLevelType w:val="hybridMultilevel"/>
    <w:tmpl w:val="7F10F092"/>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F7D55"/>
    <w:multiLevelType w:val="hybridMultilevel"/>
    <w:tmpl w:val="FA52AFC0"/>
    <w:lvl w:ilvl="0" w:tplc="F6B878DE">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D5CF7"/>
    <w:multiLevelType w:val="hybridMultilevel"/>
    <w:tmpl w:val="95429268"/>
    <w:lvl w:ilvl="0" w:tplc="FB44F57E">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56D07"/>
    <w:multiLevelType w:val="hybridMultilevel"/>
    <w:tmpl w:val="DD080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4F7D7D"/>
    <w:multiLevelType w:val="hybridMultilevel"/>
    <w:tmpl w:val="7E1C5E9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1A91582"/>
    <w:multiLevelType w:val="hybridMultilevel"/>
    <w:tmpl w:val="B3844794"/>
    <w:lvl w:ilvl="0" w:tplc="8BDCDCD6">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54EB3"/>
    <w:multiLevelType w:val="hybridMultilevel"/>
    <w:tmpl w:val="C98CB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AD4EF4"/>
    <w:multiLevelType w:val="hybridMultilevel"/>
    <w:tmpl w:val="7F10F092"/>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B69D1"/>
    <w:multiLevelType w:val="hybridMultilevel"/>
    <w:tmpl w:val="7AC69F74"/>
    <w:lvl w:ilvl="0" w:tplc="0972D31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CE4947"/>
    <w:multiLevelType w:val="hybridMultilevel"/>
    <w:tmpl w:val="E9142DE8"/>
    <w:lvl w:ilvl="0" w:tplc="E1A2BC16">
      <w:start w:val="1"/>
      <w:numFmt w:val="lowerLetter"/>
      <w:lvlText w:val="(%1)"/>
      <w:lvlJc w:val="left"/>
      <w:pPr>
        <w:ind w:left="1440" w:hanging="360"/>
      </w:pPr>
      <w:rPr>
        <w:rFonts w:hint="default"/>
      </w:rPr>
    </w:lvl>
    <w:lvl w:ilvl="1" w:tplc="C4928ABC">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FE10DE"/>
    <w:multiLevelType w:val="hybridMultilevel"/>
    <w:tmpl w:val="D4DC7A3E"/>
    <w:lvl w:ilvl="0" w:tplc="D882AB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B4953"/>
    <w:multiLevelType w:val="hybridMultilevel"/>
    <w:tmpl w:val="8C120D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07632"/>
    <w:multiLevelType w:val="hybridMultilevel"/>
    <w:tmpl w:val="EFB82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BA7FC7"/>
    <w:multiLevelType w:val="hybridMultilevel"/>
    <w:tmpl w:val="94A8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5"/>
  </w:num>
  <w:num w:numId="4">
    <w:abstractNumId w:val="3"/>
  </w:num>
  <w:num w:numId="5">
    <w:abstractNumId w:val="9"/>
  </w:num>
  <w:num w:numId="6">
    <w:abstractNumId w:val="12"/>
  </w:num>
  <w:num w:numId="7">
    <w:abstractNumId w:val="11"/>
  </w:num>
  <w:num w:numId="8">
    <w:abstractNumId w:val="7"/>
  </w:num>
  <w:num w:numId="9">
    <w:abstractNumId w:val="18"/>
  </w:num>
  <w:num w:numId="10">
    <w:abstractNumId w:val="17"/>
  </w:num>
  <w:num w:numId="11">
    <w:abstractNumId w:val="6"/>
  </w:num>
  <w:num w:numId="12">
    <w:abstractNumId w:val="14"/>
  </w:num>
  <w:num w:numId="13">
    <w:abstractNumId w:val="13"/>
  </w:num>
  <w:num w:numId="14">
    <w:abstractNumId w:val="10"/>
  </w:num>
  <w:num w:numId="15">
    <w:abstractNumId w:val="22"/>
  </w:num>
  <w:num w:numId="16">
    <w:abstractNumId w:val="24"/>
  </w:num>
  <w:num w:numId="17">
    <w:abstractNumId w:val="21"/>
  </w:num>
  <w:num w:numId="18">
    <w:abstractNumId w:val="1"/>
  </w:num>
  <w:num w:numId="19">
    <w:abstractNumId w:val="23"/>
  </w:num>
  <w:num w:numId="20">
    <w:abstractNumId w:val="16"/>
  </w:num>
  <w:num w:numId="21">
    <w:abstractNumId w:val="19"/>
  </w:num>
  <w:num w:numId="22">
    <w:abstractNumId w:val="4"/>
  </w:num>
  <w:num w:numId="23">
    <w:abstractNumId w:val="2"/>
  </w:num>
  <w:num w:numId="24">
    <w:abstractNumId w:val="8"/>
  </w:num>
  <w:num w:numId="25">
    <w:abstractNumId w:val="20"/>
  </w:num>
  <w:num w:numId="2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23"/>
    <w:rsid w:val="000514CE"/>
    <w:rsid w:val="00061670"/>
    <w:rsid w:val="00061D1C"/>
    <w:rsid w:val="00082324"/>
    <w:rsid w:val="000B46A9"/>
    <w:rsid w:val="000C057F"/>
    <w:rsid w:val="000C18A4"/>
    <w:rsid w:val="00106634"/>
    <w:rsid w:val="00110096"/>
    <w:rsid w:val="001226E6"/>
    <w:rsid w:val="0018585F"/>
    <w:rsid w:val="00194AA4"/>
    <w:rsid w:val="00197720"/>
    <w:rsid w:val="0022387A"/>
    <w:rsid w:val="00226651"/>
    <w:rsid w:val="00262081"/>
    <w:rsid w:val="002A028F"/>
    <w:rsid w:val="002B3AB7"/>
    <w:rsid w:val="002C59C1"/>
    <w:rsid w:val="002D6797"/>
    <w:rsid w:val="002E25BE"/>
    <w:rsid w:val="00325CD7"/>
    <w:rsid w:val="00340369"/>
    <w:rsid w:val="00345CED"/>
    <w:rsid w:val="00394AB3"/>
    <w:rsid w:val="003B0EAB"/>
    <w:rsid w:val="003C78B0"/>
    <w:rsid w:val="003D7863"/>
    <w:rsid w:val="00401687"/>
    <w:rsid w:val="004B14A4"/>
    <w:rsid w:val="004C5F2A"/>
    <w:rsid w:val="004E39C2"/>
    <w:rsid w:val="004F134C"/>
    <w:rsid w:val="004F37B4"/>
    <w:rsid w:val="005423A3"/>
    <w:rsid w:val="00557BB2"/>
    <w:rsid w:val="00570DD1"/>
    <w:rsid w:val="005C1996"/>
    <w:rsid w:val="005F4C88"/>
    <w:rsid w:val="00617A8A"/>
    <w:rsid w:val="00637ABE"/>
    <w:rsid w:val="00643EFA"/>
    <w:rsid w:val="006558D7"/>
    <w:rsid w:val="00656EA6"/>
    <w:rsid w:val="00662F27"/>
    <w:rsid w:val="006711EB"/>
    <w:rsid w:val="0067167C"/>
    <w:rsid w:val="00692C3A"/>
    <w:rsid w:val="00710C35"/>
    <w:rsid w:val="0072212E"/>
    <w:rsid w:val="00726D6F"/>
    <w:rsid w:val="0074104A"/>
    <w:rsid w:val="00760FC9"/>
    <w:rsid w:val="00775255"/>
    <w:rsid w:val="00776A6B"/>
    <w:rsid w:val="0078715E"/>
    <w:rsid w:val="00800860"/>
    <w:rsid w:val="00813AB7"/>
    <w:rsid w:val="00824FDC"/>
    <w:rsid w:val="00880C62"/>
    <w:rsid w:val="00890622"/>
    <w:rsid w:val="008D19E6"/>
    <w:rsid w:val="009062BD"/>
    <w:rsid w:val="0090650F"/>
    <w:rsid w:val="0091086F"/>
    <w:rsid w:val="00966AB1"/>
    <w:rsid w:val="0099398B"/>
    <w:rsid w:val="009D5DD9"/>
    <w:rsid w:val="009F229C"/>
    <w:rsid w:val="009F3D63"/>
    <w:rsid w:val="00A1414C"/>
    <w:rsid w:val="00A202E7"/>
    <w:rsid w:val="00A244E4"/>
    <w:rsid w:val="00A24832"/>
    <w:rsid w:val="00A25FED"/>
    <w:rsid w:val="00A507E2"/>
    <w:rsid w:val="00A679A2"/>
    <w:rsid w:val="00A700B7"/>
    <w:rsid w:val="00AB0B2D"/>
    <w:rsid w:val="00AB2C2F"/>
    <w:rsid w:val="00AC436F"/>
    <w:rsid w:val="00AD403F"/>
    <w:rsid w:val="00AF4050"/>
    <w:rsid w:val="00B45D23"/>
    <w:rsid w:val="00B47D25"/>
    <w:rsid w:val="00B528EA"/>
    <w:rsid w:val="00B55DBC"/>
    <w:rsid w:val="00B74BB0"/>
    <w:rsid w:val="00B875F1"/>
    <w:rsid w:val="00BD30C9"/>
    <w:rsid w:val="00BF0392"/>
    <w:rsid w:val="00BF1A9E"/>
    <w:rsid w:val="00BF4C5C"/>
    <w:rsid w:val="00BF7382"/>
    <w:rsid w:val="00C10BAD"/>
    <w:rsid w:val="00C42739"/>
    <w:rsid w:val="00C72B2E"/>
    <w:rsid w:val="00C85AFF"/>
    <w:rsid w:val="00C9117C"/>
    <w:rsid w:val="00CA4B69"/>
    <w:rsid w:val="00CA57D6"/>
    <w:rsid w:val="00CA79DC"/>
    <w:rsid w:val="00CB38EA"/>
    <w:rsid w:val="00CB4EBD"/>
    <w:rsid w:val="00CE63D5"/>
    <w:rsid w:val="00CF050B"/>
    <w:rsid w:val="00CF3E22"/>
    <w:rsid w:val="00D42A2E"/>
    <w:rsid w:val="00D730F1"/>
    <w:rsid w:val="00D86DFC"/>
    <w:rsid w:val="00D92E27"/>
    <w:rsid w:val="00D96B2B"/>
    <w:rsid w:val="00DA6ECE"/>
    <w:rsid w:val="00DB6F95"/>
    <w:rsid w:val="00DD2358"/>
    <w:rsid w:val="00DF731E"/>
    <w:rsid w:val="00E6197A"/>
    <w:rsid w:val="00E70FFA"/>
    <w:rsid w:val="00E7171A"/>
    <w:rsid w:val="00EA7806"/>
    <w:rsid w:val="00EC1369"/>
    <w:rsid w:val="00EC1BEE"/>
    <w:rsid w:val="00EF22DC"/>
    <w:rsid w:val="00F42F20"/>
    <w:rsid w:val="00FE3177"/>
    <w:rsid w:val="00FE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B71D8F-06EA-4CC5-9006-FC91FBBF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D23"/>
    <w:rPr>
      <w:rFonts w:eastAsia="Times New Roman"/>
    </w:rPr>
  </w:style>
  <w:style w:type="paragraph" w:styleId="Heading1">
    <w:name w:val="heading 1"/>
    <w:basedOn w:val="Normal"/>
    <w:next w:val="Normal"/>
    <w:link w:val="Heading1Char"/>
    <w:uiPriority w:val="99"/>
    <w:qFormat/>
    <w:rsid w:val="00106634"/>
    <w:pPr>
      <w:keepNext/>
      <w:widowControl w:val="0"/>
      <w:autoSpaceDE w:val="0"/>
      <w:autoSpaceDN w:val="0"/>
      <w:adjustRightInd w:val="0"/>
      <w:jc w:val="center"/>
      <w:outlineLvl w:val="0"/>
    </w:pPr>
    <w:rPr>
      <w:b/>
      <w:bCs/>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096"/>
    <w:pPr>
      <w:ind w:left="720"/>
      <w:contextualSpacing/>
    </w:pPr>
  </w:style>
  <w:style w:type="paragraph" w:styleId="Header">
    <w:name w:val="header"/>
    <w:basedOn w:val="Normal"/>
    <w:link w:val="HeaderChar"/>
    <w:uiPriority w:val="99"/>
    <w:unhideWhenUsed/>
    <w:rsid w:val="00110096"/>
    <w:pPr>
      <w:tabs>
        <w:tab w:val="center" w:pos="4680"/>
        <w:tab w:val="right" w:pos="9360"/>
      </w:tabs>
    </w:pPr>
  </w:style>
  <w:style w:type="character" w:customStyle="1" w:styleId="HeaderChar">
    <w:name w:val="Header Char"/>
    <w:basedOn w:val="DefaultParagraphFont"/>
    <w:link w:val="Header"/>
    <w:uiPriority w:val="99"/>
    <w:rsid w:val="00110096"/>
    <w:rPr>
      <w:rFonts w:eastAsia="Times New Roman"/>
    </w:rPr>
  </w:style>
  <w:style w:type="paragraph" w:styleId="Footer">
    <w:name w:val="footer"/>
    <w:basedOn w:val="Normal"/>
    <w:link w:val="FooterChar"/>
    <w:uiPriority w:val="99"/>
    <w:unhideWhenUsed/>
    <w:rsid w:val="00110096"/>
    <w:pPr>
      <w:tabs>
        <w:tab w:val="center" w:pos="4680"/>
        <w:tab w:val="right" w:pos="9360"/>
      </w:tabs>
    </w:pPr>
  </w:style>
  <w:style w:type="character" w:customStyle="1" w:styleId="FooterChar">
    <w:name w:val="Footer Char"/>
    <w:basedOn w:val="DefaultParagraphFont"/>
    <w:link w:val="Footer"/>
    <w:uiPriority w:val="99"/>
    <w:rsid w:val="00110096"/>
    <w:rPr>
      <w:rFonts w:eastAsia="Times New Roman"/>
    </w:rPr>
  </w:style>
  <w:style w:type="character" w:styleId="PlaceholderText">
    <w:name w:val="Placeholder Text"/>
    <w:basedOn w:val="DefaultParagraphFont"/>
    <w:uiPriority w:val="99"/>
    <w:semiHidden/>
    <w:rsid w:val="00A507E2"/>
    <w:rPr>
      <w:color w:val="808080"/>
    </w:rPr>
  </w:style>
  <w:style w:type="paragraph" w:styleId="BalloonText">
    <w:name w:val="Balloon Text"/>
    <w:basedOn w:val="Normal"/>
    <w:link w:val="BalloonTextChar"/>
    <w:uiPriority w:val="99"/>
    <w:semiHidden/>
    <w:unhideWhenUsed/>
    <w:rsid w:val="00A507E2"/>
    <w:rPr>
      <w:rFonts w:ascii="Tahoma" w:hAnsi="Tahoma" w:cs="Tahoma"/>
      <w:sz w:val="16"/>
      <w:szCs w:val="16"/>
    </w:rPr>
  </w:style>
  <w:style w:type="character" w:customStyle="1" w:styleId="BalloonTextChar">
    <w:name w:val="Balloon Text Char"/>
    <w:basedOn w:val="DefaultParagraphFont"/>
    <w:link w:val="BalloonText"/>
    <w:uiPriority w:val="99"/>
    <w:semiHidden/>
    <w:rsid w:val="00A507E2"/>
    <w:rPr>
      <w:rFonts w:ascii="Tahoma" w:eastAsia="Times New Roman" w:hAnsi="Tahoma" w:cs="Tahoma"/>
      <w:sz w:val="16"/>
      <w:szCs w:val="16"/>
    </w:rPr>
  </w:style>
  <w:style w:type="paragraph" w:styleId="PlainText">
    <w:name w:val="Plain Text"/>
    <w:basedOn w:val="Normal"/>
    <w:link w:val="PlainTextChar"/>
    <w:uiPriority w:val="99"/>
    <w:rsid w:val="0078715E"/>
    <w:rPr>
      <w:rFonts w:ascii="Courier New" w:hAnsi="Courier New" w:cs="Courier New"/>
      <w:sz w:val="20"/>
      <w:szCs w:val="20"/>
    </w:rPr>
  </w:style>
  <w:style w:type="character" w:customStyle="1" w:styleId="PlainTextChar">
    <w:name w:val="Plain Text Char"/>
    <w:basedOn w:val="DefaultParagraphFont"/>
    <w:link w:val="PlainText"/>
    <w:uiPriority w:val="99"/>
    <w:rsid w:val="007871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9"/>
    <w:rsid w:val="00106634"/>
    <w:rPr>
      <w:rFonts w:eastAsia="Times New Roman"/>
      <w:b/>
      <w:bCs/>
      <w:spacing w:val="-3"/>
      <w:sz w:val="28"/>
    </w:rPr>
  </w:style>
  <w:style w:type="table" w:styleId="TableGrid">
    <w:name w:val="Table Grid"/>
    <w:basedOn w:val="TableNormal"/>
    <w:uiPriority w:val="99"/>
    <w:rsid w:val="0010663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06634"/>
    <w:pPr>
      <w:widowControl w:val="0"/>
      <w:autoSpaceDE w:val="0"/>
      <w:autoSpaceDN w:val="0"/>
      <w:adjustRightInd w:val="0"/>
      <w:jc w:val="center"/>
    </w:pPr>
    <w:rPr>
      <w:b/>
      <w:bCs/>
      <w:spacing w:val="-3"/>
      <w:sz w:val="22"/>
      <w:szCs w:val="32"/>
    </w:rPr>
  </w:style>
  <w:style w:type="character" w:customStyle="1" w:styleId="BodyTextChar">
    <w:name w:val="Body Text Char"/>
    <w:basedOn w:val="DefaultParagraphFont"/>
    <w:link w:val="BodyText"/>
    <w:uiPriority w:val="99"/>
    <w:rsid w:val="00106634"/>
    <w:rPr>
      <w:rFonts w:eastAsia="Times New Roman"/>
      <w:b/>
      <w:bCs/>
      <w:spacing w:val="-3"/>
      <w:sz w:val="22"/>
      <w:szCs w:val="32"/>
    </w:rPr>
  </w:style>
  <w:style w:type="character" w:styleId="PageNumber">
    <w:name w:val="page number"/>
    <w:basedOn w:val="DefaultParagraphFont"/>
    <w:uiPriority w:val="99"/>
    <w:rsid w:val="00106634"/>
    <w:rPr>
      <w:rFonts w:cs="Times New Roman"/>
    </w:rPr>
  </w:style>
  <w:style w:type="character" w:styleId="Hyperlink">
    <w:name w:val="Hyperlink"/>
    <w:basedOn w:val="DefaultParagraphFont"/>
    <w:uiPriority w:val="99"/>
    <w:rsid w:val="00106634"/>
    <w:rPr>
      <w:rFonts w:cs="Times New Roman"/>
      <w:color w:val="669933"/>
      <w:u w:val="single"/>
    </w:rPr>
  </w:style>
  <w:style w:type="paragraph" w:customStyle="1" w:styleId="body">
    <w:name w:val="body"/>
    <w:basedOn w:val="Normal"/>
    <w:uiPriority w:val="99"/>
    <w:rsid w:val="00106634"/>
    <w:pPr>
      <w:spacing w:before="100" w:beforeAutospacing="1" w:after="100" w:afterAutospacing="1" w:line="324"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8725">
      <w:bodyDiv w:val="1"/>
      <w:marLeft w:val="0"/>
      <w:marRight w:val="0"/>
      <w:marTop w:val="0"/>
      <w:marBottom w:val="0"/>
      <w:divBdr>
        <w:top w:val="none" w:sz="0" w:space="0" w:color="auto"/>
        <w:left w:val="none" w:sz="0" w:space="0" w:color="auto"/>
        <w:bottom w:val="none" w:sz="0" w:space="0" w:color="auto"/>
        <w:right w:val="none" w:sz="0" w:space="0" w:color="auto"/>
      </w:divBdr>
    </w:div>
    <w:div w:id="411239471">
      <w:bodyDiv w:val="1"/>
      <w:marLeft w:val="0"/>
      <w:marRight w:val="0"/>
      <w:marTop w:val="0"/>
      <w:marBottom w:val="0"/>
      <w:divBdr>
        <w:top w:val="none" w:sz="0" w:space="0" w:color="auto"/>
        <w:left w:val="none" w:sz="0" w:space="0" w:color="auto"/>
        <w:bottom w:val="none" w:sz="0" w:space="0" w:color="auto"/>
        <w:right w:val="none" w:sz="0" w:space="0" w:color="auto"/>
      </w:divBdr>
    </w:div>
    <w:div w:id="997196843">
      <w:bodyDiv w:val="1"/>
      <w:marLeft w:val="0"/>
      <w:marRight w:val="0"/>
      <w:marTop w:val="0"/>
      <w:marBottom w:val="0"/>
      <w:divBdr>
        <w:top w:val="none" w:sz="0" w:space="0" w:color="auto"/>
        <w:left w:val="none" w:sz="0" w:space="0" w:color="auto"/>
        <w:bottom w:val="none" w:sz="0" w:space="0" w:color="auto"/>
        <w:right w:val="none" w:sz="0" w:space="0" w:color="auto"/>
      </w:divBdr>
    </w:div>
    <w:div w:id="1052578398">
      <w:bodyDiv w:val="1"/>
      <w:marLeft w:val="0"/>
      <w:marRight w:val="0"/>
      <w:marTop w:val="0"/>
      <w:marBottom w:val="0"/>
      <w:divBdr>
        <w:top w:val="none" w:sz="0" w:space="0" w:color="auto"/>
        <w:left w:val="none" w:sz="0" w:space="0" w:color="auto"/>
        <w:bottom w:val="none" w:sz="0" w:space="0" w:color="auto"/>
        <w:right w:val="none" w:sz="0" w:space="0" w:color="auto"/>
      </w:divBdr>
    </w:div>
    <w:div w:id="17177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r.com/InsightAwardApp/bio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6EE6-9D77-4394-A6AB-F2121152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4183</Words>
  <Characters>23848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Leeds School of Business</Company>
  <LinksUpToDate>false</LinksUpToDate>
  <CharactersWithSpaces>27976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Michael Gross</dc:creator>
  <cp:lastModifiedBy>David Michael Gross</cp:lastModifiedBy>
  <cp:revision>2</cp:revision>
  <cp:lastPrinted>2012-09-18T17:57:00Z</cp:lastPrinted>
  <dcterms:created xsi:type="dcterms:W3CDTF">2019-02-27T21:51:00Z</dcterms:created>
  <dcterms:modified xsi:type="dcterms:W3CDTF">2019-02-27T21:51:00Z</dcterms:modified>
</cp:coreProperties>
</file>