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0B" w:rsidRPr="005C0F28" w:rsidRDefault="00FC530B" w:rsidP="00E654FC">
      <w:pPr>
        <w:widowControl w:val="0"/>
        <w:autoSpaceDE w:val="0"/>
        <w:autoSpaceDN w:val="0"/>
        <w:adjustRightInd w:val="0"/>
        <w:jc w:val="center"/>
        <w:rPr>
          <w:spacing w:val="-3"/>
          <w:sz w:val="22"/>
          <w:szCs w:val="22"/>
        </w:rPr>
      </w:pPr>
      <w:r w:rsidRPr="005C0F28">
        <w:rPr>
          <w:b/>
          <w:bCs/>
          <w:spacing w:val="-3"/>
          <w:sz w:val="22"/>
          <w:szCs w:val="22"/>
        </w:rPr>
        <w:t>C</w:t>
      </w:r>
      <w:r w:rsidR="00E654FC" w:rsidRPr="005C0F28">
        <w:rPr>
          <w:b/>
          <w:bCs/>
          <w:spacing w:val="-3"/>
          <w:sz w:val="22"/>
          <w:szCs w:val="22"/>
        </w:rPr>
        <w:t>hapter</w:t>
      </w:r>
      <w:r w:rsidRPr="005C0F28">
        <w:rPr>
          <w:b/>
          <w:bCs/>
          <w:spacing w:val="-3"/>
          <w:sz w:val="22"/>
          <w:szCs w:val="22"/>
        </w:rPr>
        <w:t xml:space="preserve"> 1</w:t>
      </w:r>
      <w:r w:rsidR="00E654FC" w:rsidRPr="005C0F28">
        <w:rPr>
          <w:b/>
          <w:bCs/>
          <w:spacing w:val="-3"/>
          <w:sz w:val="22"/>
          <w:szCs w:val="22"/>
        </w:rPr>
        <w:t xml:space="preserve"> – Introduction - Answers</w:t>
      </w:r>
    </w:p>
    <w:p w:rsidR="00FC530B" w:rsidRPr="005C0F28" w:rsidRDefault="00FC530B" w:rsidP="00E654FC">
      <w:pPr>
        <w:widowControl w:val="0"/>
        <w:autoSpaceDE w:val="0"/>
        <w:autoSpaceDN w:val="0"/>
        <w:adjustRightInd w:val="0"/>
        <w:rPr>
          <w:spacing w:val="-3"/>
          <w:sz w:val="22"/>
          <w:szCs w:val="22"/>
        </w:rPr>
      </w:pPr>
    </w:p>
    <w:p w:rsidR="0062608D" w:rsidRPr="005C0F28" w:rsidRDefault="0062608D" w:rsidP="00C11607">
      <w:pPr>
        <w:pStyle w:val="ListParagraph"/>
        <w:numPr>
          <w:ilvl w:val="0"/>
          <w:numId w:val="5"/>
        </w:numPr>
        <w:rPr>
          <w:b/>
          <w:sz w:val="22"/>
          <w:szCs w:val="22"/>
        </w:rPr>
      </w:pPr>
      <w:r w:rsidRPr="005C0F28">
        <w:rPr>
          <w:b/>
          <w:sz w:val="22"/>
          <w:szCs w:val="22"/>
        </w:rPr>
        <w:t xml:space="preserve">Suppose that coupon reset formula for a floating-rate bond is: </w:t>
      </w:r>
      <w:r w:rsidR="00E30A2D">
        <w:rPr>
          <w:b/>
          <w:sz w:val="22"/>
          <w:szCs w:val="22"/>
        </w:rPr>
        <w:t>6</w:t>
      </w:r>
      <w:r w:rsidRPr="005C0F28">
        <w:rPr>
          <w:b/>
          <w:sz w:val="22"/>
          <w:szCs w:val="22"/>
        </w:rPr>
        <w:t>-month LIBOR + 220 basis points.</w:t>
      </w:r>
    </w:p>
    <w:p w:rsidR="00E654FC" w:rsidRPr="005C0F28" w:rsidRDefault="00E654FC" w:rsidP="00E654FC">
      <w:pPr>
        <w:rPr>
          <w:b/>
          <w:sz w:val="22"/>
          <w:szCs w:val="22"/>
        </w:rPr>
      </w:pPr>
    </w:p>
    <w:p w:rsidR="0062608D" w:rsidRPr="005C0F28" w:rsidRDefault="0062608D" w:rsidP="00C11607">
      <w:pPr>
        <w:pStyle w:val="ListParagraph"/>
        <w:numPr>
          <w:ilvl w:val="0"/>
          <w:numId w:val="6"/>
        </w:numPr>
        <w:rPr>
          <w:b/>
          <w:sz w:val="22"/>
          <w:szCs w:val="22"/>
        </w:rPr>
      </w:pPr>
      <w:r w:rsidRPr="005C0F28">
        <w:rPr>
          <w:b/>
          <w:sz w:val="22"/>
          <w:szCs w:val="22"/>
        </w:rPr>
        <w:t>What is the reference rate?</w:t>
      </w:r>
    </w:p>
    <w:p w:rsidR="0062608D" w:rsidRPr="005C0F28" w:rsidRDefault="0062608D" w:rsidP="00C11607">
      <w:pPr>
        <w:pStyle w:val="ListParagraph"/>
        <w:rPr>
          <w:sz w:val="22"/>
          <w:szCs w:val="22"/>
        </w:rPr>
      </w:pPr>
      <w:r w:rsidRPr="005C0F28">
        <w:rPr>
          <w:sz w:val="22"/>
          <w:szCs w:val="22"/>
        </w:rPr>
        <w:t xml:space="preserve">The reference rate is the </w:t>
      </w:r>
      <w:r w:rsidR="00E30A2D">
        <w:rPr>
          <w:sz w:val="22"/>
          <w:szCs w:val="22"/>
        </w:rPr>
        <w:t>6</w:t>
      </w:r>
      <w:r w:rsidRPr="005C0F28">
        <w:rPr>
          <w:sz w:val="22"/>
          <w:szCs w:val="22"/>
        </w:rPr>
        <w:t>-month LIBOR.</w:t>
      </w:r>
    </w:p>
    <w:p w:rsidR="00C11607" w:rsidRPr="005C0F28" w:rsidRDefault="00C11607" w:rsidP="00E654FC">
      <w:pPr>
        <w:rPr>
          <w:sz w:val="22"/>
          <w:szCs w:val="22"/>
        </w:rPr>
      </w:pPr>
    </w:p>
    <w:p w:rsidR="0062608D" w:rsidRPr="005C0F28" w:rsidRDefault="0062608D" w:rsidP="00C11607">
      <w:pPr>
        <w:pStyle w:val="ListParagraph"/>
        <w:numPr>
          <w:ilvl w:val="0"/>
          <w:numId w:val="6"/>
        </w:numPr>
        <w:rPr>
          <w:b/>
          <w:sz w:val="22"/>
          <w:szCs w:val="22"/>
        </w:rPr>
      </w:pPr>
      <w:r w:rsidRPr="005C0F28">
        <w:rPr>
          <w:b/>
          <w:sz w:val="22"/>
          <w:szCs w:val="22"/>
        </w:rPr>
        <w:t>What is the quoted margin?</w:t>
      </w:r>
    </w:p>
    <w:p w:rsidR="0062608D" w:rsidRPr="005C0F28" w:rsidRDefault="0062608D" w:rsidP="00C11607">
      <w:pPr>
        <w:pStyle w:val="ListParagraph"/>
        <w:rPr>
          <w:sz w:val="22"/>
          <w:szCs w:val="22"/>
        </w:rPr>
      </w:pPr>
      <w:r w:rsidRPr="005C0F28">
        <w:rPr>
          <w:sz w:val="22"/>
          <w:szCs w:val="22"/>
        </w:rPr>
        <w:t>The quoted margin is the 220 basis points (or 2.20%).</w:t>
      </w:r>
    </w:p>
    <w:p w:rsidR="00E654FC" w:rsidRPr="005C0F28" w:rsidRDefault="00E654FC" w:rsidP="00E654FC">
      <w:pPr>
        <w:rPr>
          <w:b/>
          <w:sz w:val="22"/>
          <w:szCs w:val="22"/>
        </w:rPr>
      </w:pPr>
    </w:p>
    <w:p w:rsidR="0062608D" w:rsidRDefault="0062608D" w:rsidP="00C11607">
      <w:pPr>
        <w:pStyle w:val="ListParagraph"/>
        <w:numPr>
          <w:ilvl w:val="0"/>
          <w:numId w:val="6"/>
        </w:numPr>
        <w:rPr>
          <w:b/>
          <w:sz w:val="22"/>
          <w:szCs w:val="22"/>
        </w:rPr>
      </w:pPr>
      <w:r w:rsidRPr="005C0F28">
        <w:rPr>
          <w:b/>
          <w:sz w:val="22"/>
          <w:szCs w:val="22"/>
        </w:rPr>
        <w:t xml:space="preserve">Suppose that on a coupon reset date that </w:t>
      </w:r>
      <w:r w:rsidR="00E30A2D">
        <w:rPr>
          <w:b/>
          <w:sz w:val="22"/>
          <w:szCs w:val="22"/>
        </w:rPr>
        <w:t>6</w:t>
      </w:r>
      <w:r w:rsidRPr="005C0F28">
        <w:rPr>
          <w:b/>
          <w:sz w:val="22"/>
          <w:szCs w:val="22"/>
        </w:rPr>
        <w:t>-month LIBOR is 2.8%. What will the coupon rate be for the period?</w:t>
      </w:r>
    </w:p>
    <w:p w:rsidR="00E30A2D" w:rsidRPr="00E30A2D" w:rsidRDefault="00E30A2D" w:rsidP="00E30A2D">
      <w:pPr>
        <w:pStyle w:val="ListParagraph"/>
        <w:rPr>
          <w:sz w:val="22"/>
          <w:szCs w:val="22"/>
        </w:rPr>
      </w:pPr>
      <w:r w:rsidRPr="00E30A2D">
        <w:rPr>
          <w:sz w:val="22"/>
          <w:szCs w:val="22"/>
        </w:rPr>
        <w:t>6-month LIBOR + 220 basis points = 2.80% + 2.20% = 5.00%.</w:t>
      </w:r>
    </w:p>
    <w:p w:rsidR="00E30A2D" w:rsidRPr="00E30A2D" w:rsidRDefault="00E30A2D" w:rsidP="00E30A2D">
      <w:pPr>
        <w:rPr>
          <w:b/>
          <w:sz w:val="22"/>
          <w:szCs w:val="22"/>
        </w:rPr>
      </w:pPr>
    </w:p>
    <w:p w:rsidR="00E30A2D" w:rsidRPr="005C0F28" w:rsidRDefault="00E30A2D" w:rsidP="00C11607">
      <w:pPr>
        <w:pStyle w:val="ListParagraph"/>
        <w:numPr>
          <w:ilvl w:val="0"/>
          <w:numId w:val="6"/>
        </w:numPr>
        <w:rPr>
          <w:b/>
          <w:sz w:val="22"/>
          <w:szCs w:val="22"/>
        </w:rPr>
      </w:pPr>
      <w:r>
        <w:rPr>
          <w:b/>
          <w:sz w:val="22"/>
          <w:szCs w:val="22"/>
        </w:rPr>
        <w:t>What will be the coupon payment per $100 of face value?</w:t>
      </w:r>
    </w:p>
    <w:p w:rsidR="00E30A2D" w:rsidRDefault="00E30A2D" w:rsidP="00E30A2D">
      <w:pPr>
        <w:pStyle w:val="ListParagraph"/>
        <w:rPr>
          <w:sz w:val="22"/>
          <w:szCs w:val="22"/>
        </w:rPr>
      </w:pPr>
      <w:r>
        <w:rPr>
          <w:sz w:val="22"/>
          <w:szCs w:val="22"/>
        </w:rPr>
        <w:t>All rates are in BEY (APR semi-annual) terms:</w:t>
      </w:r>
    </w:p>
    <w:p w:rsidR="00E30A2D" w:rsidRPr="00E30A2D" w:rsidRDefault="00E30A2D" w:rsidP="00E30A2D">
      <w:pPr>
        <w:pStyle w:val="ListParagraph"/>
        <w:rPr>
          <w:sz w:val="22"/>
          <w:szCs w:val="22"/>
        </w:rPr>
      </w:pPr>
      <w:r>
        <w:rPr>
          <w:sz w:val="22"/>
          <w:szCs w:val="22"/>
        </w:rPr>
        <w:t>The coupon payment will be 5.00%/2 x $100 = $2.50</w:t>
      </w:r>
    </w:p>
    <w:p w:rsidR="00E30A2D" w:rsidRPr="005C0F28" w:rsidRDefault="00E30A2D" w:rsidP="00C11607">
      <w:pPr>
        <w:ind w:left="720"/>
        <w:rPr>
          <w:sz w:val="22"/>
          <w:szCs w:val="22"/>
        </w:rPr>
      </w:pPr>
    </w:p>
    <w:p w:rsidR="004602C7" w:rsidRPr="005C0F28" w:rsidRDefault="004602C7" w:rsidP="00C11607">
      <w:pPr>
        <w:pStyle w:val="ListParagraph"/>
        <w:numPr>
          <w:ilvl w:val="0"/>
          <w:numId w:val="9"/>
        </w:numPr>
        <w:autoSpaceDE w:val="0"/>
        <w:autoSpaceDN w:val="0"/>
        <w:adjustRightInd w:val="0"/>
        <w:rPr>
          <w:b/>
          <w:sz w:val="22"/>
          <w:szCs w:val="22"/>
        </w:rPr>
      </w:pPr>
      <w:r w:rsidRPr="005C0F28">
        <w:rPr>
          <w:b/>
          <w:sz w:val="22"/>
          <w:szCs w:val="22"/>
        </w:rPr>
        <w:t>Answer the below questions.</w:t>
      </w:r>
    </w:p>
    <w:p w:rsidR="004602C7" w:rsidRPr="005C0F28" w:rsidRDefault="004602C7" w:rsidP="00C11607">
      <w:pPr>
        <w:pStyle w:val="ListParagraph"/>
        <w:numPr>
          <w:ilvl w:val="0"/>
          <w:numId w:val="11"/>
        </w:numPr>
        <w:autoSpaceDE w:val="0"/>
        <w:autoSpaceDN w:val="0"/>
        <w:adjustRightInd w:val="0"/>
        <w:rPr>
          <w:b/>
          <w:sz w:val="22"/>
          <w:szCs w:val="22"/>
        </w:rPr>
      </w:pPr>
      <w:r w:rsidRPr="005C0F28">
        <w:rPr>
          <w:b/>
          <w:sz w:val="22"/>
          <w:szCs w:val="22"/>
        </w:rPr>
        <w:t>What is meant by an amortizing security?</w:t>
      </w:r>
    </w:p>
    <w:p w:rsidR="00511694" w:rsidRPr="005C0F28" w:rsidRDefault="001B1926" w:rsidP="001B1926">
      <w:pPr>
        <w:ind w:left="720"/>
        <w:rPr>
          <w:sz w:val="22"/>
          <w:szCs w:val="22"/>
        </w:rPr>
      </w:pPr>
      <w:r>
        <w:rPr>
          <w:sz w:val="22"/>
          <w:szCs w:val="22"/>
        </w:rPr>
        <w:t xml:space="preserve">Also called a self-amortizing security, an amortizing security is when </w:t>
      </w:r>
      <w:r w:rsidR="00511694" w:rsidRPr="005C0F28">
        <w:rPr>
          <w:sz w:val="22"/>
          <w:szCs w:val="22"/>
        </w:rPr>
        <w:t xml:space="preserve">principal </w:t>
      </w:r>
      <w:r>
        <w:rPr>
          <w:sz w:val="22"/>
          <w:szCs w:val="22"/>
        </w:rPr>
        <w:t xml:space="preserve">is </w:t>
      </w:r>
      <w:r w:rsidR="00511694" w:rsidRPr="005C0F28">
        <w:rPr>
          <w:sz w:val="22"/>
          <w:szCs w:val="22"/>
        </w:rPr>
        <w:t xml:space="preserve">repaid over the life of the bond. </w:t>
      </w:r>
      <w:r>
        <w:rPr>
          <w:sz w:val="22"/>
          <w:szCs w:val="22"/>
        </w:rPr>
        <w:t>A</w:t>
      </w:r>
      <w:r w:rsidR="00511694" w:rsidRPr="005C0F28">
        <w:rPr>
          <w:sz w:val="22"/>
          <w:szCs w:val="22"/>
        </w:rPr>
        <w:t xml:space="preserve">n </w:t>
      </w:r>
      <w:r w:rsidR="00511694" w:rsidRPr="005C0F28">
        <w:rPr>
          <w:bCs/>
          <w:sz w:val="22"/>
          <w:szCs w:val="22"/>
        </w:rPr>
        <w:t>amortization schedule</w:t>
      </w:r>
      <w:r w:rsidR="00BD46B3" w:rsidRPr="005C0F28">
        <w:rPr>
          <w:bCs/>
          <w:sz w:val="22"/>
          <w:szCs w:val="22"/>
        </w:rPr>
        <w:t xml:space="preserve"> describes the times </w:t>
      </w:r>
      <w:r>
        <w:rPr>
          <w:bCs/>
          <w:sz w:val="22"/>
          <w:szCs w:val="22"/>
        </w:rPr>
        <w:t xml:space="preserve">and amounts of </w:t>
      </w:r>
      <w:r w:rsidR="00BD46B3" w:rsidRPr="005C0F28">
        <w:rPr>
          <w:bCs/>
          <w:sz w:val="22"/>
          <w:szCs w:val="22"/>
        </w:rPr>
        <w:t>principal rep</w:t>
      </w:r>
      <w:r>
        <w:rPr>
          <w:bCs/>
          <w:sz w:val="22"/>
          <w:szCs w:val="22"/>
        </w:rPr>
        <w:t>ayment</w:t>
      </w:r>
      <w:r w:rsidR="00BD46B3" w:rsidRPr="005C0F28">
        <w:rPr>
          <w:bCs/>
          <w:sz w:val="22"/>
          <w:szCs w:val="22"/>
        </w:rPr>
        <w:t>.</w:t>
      </w:r>
      <w:r w:rsidR="00511694" w:rsidRPr="005C0F28">
        <w:rPr>
          <w:sz w:val="22"/>
          <w:szCs w:val="22"/>
        </w:rPr>
        <w:t xml:space="preserve"> </w:t>
      </w:r>
      <w:r>
        <w:rPr>
          <w:sz w:val="22"/>
          <w:szCs w:val="22"/>
        </w:rPr>
        <w:t>C</w:t>
      </w:r>
      <w:r w:rsidR="00BD46B3" w:rsidRPr="005C0F28">
        <w:rPr>
          <w:sz w:val="22"/>
          <w:szCs w:val="22"/>
        </w:rPr>
        <w:t>onsumer loans are usually amortizing loans. S</w:t>
      </w:r>
      <w:r w:rsidR="00511694" w:rsidRPr="005C0F28">
        <w:rPr>
          <w:sz w:val="22"/>
          <w:szCs w:val="22"/>
        </w:rPr>
        <w:t xml:space="preserve">ecurities created from </w:t>
      </w:r>
      <w:r w:rsidR="00BD46B3" w:rsidRPr="005C0F28">
        <w:rPr>
          <w:sz w:val="22"/>
          <w:szCs w:val="22"/>
        </w:rPr>
        <w:t xml:space="preserve">these </w:t>
      </w:r>
      <w:r w:rsidR="00511694" w:rsidRPr="005C0F28">
        <w:rPr>
          <w:sz w:val="22"/>
          <w:szCs w:val="22"/>
        </w:rPr>
        <w:t xml:space="preserve">loans </w:t>
      </w:r>
      <w:r w:rsidR="00BD46B3" w:rsidRPr="005C0F28">
        <w:rPr>
          <w:sz w:val="22"/>
          <w:szCs w:val="22"/>
        </w:rPr>
        <w:t xml:space="preserve">often have </w:t>
      </w:r>
      <w:r w:rsidR="00511694" w:rsidRPr="005C0F28">
        <w:rPr>
          <w:sz w:val="22"/>
          <w:szCs w:val="22"/>
        </w:rPr>
        <w:t>schedule</w:t>
      </w:r>
      <w:r w:rsidR="00BD46B3" w:rsidRPr="005C0F28">
        <w:rPr>
          <w:sz w:val="22"/>
          <w:szCs w:val="22"/>
        </w:rPr>
        <w:t>d</w:t>
      </w:r>
      <w:r w:rsidR="00511694" w:rsidRPr="005C0F28">
        <w:rPr>
          <w:sz w:val="22"/>
          <w:szCs w:val="22"/>
        </w:rPr>
        <w:t xml:space="preserve"> principal repayments</w:t>
      </w:r>
      <w:r w:rsidR="00BD46B3" w:rsidRPr="005C0F28">
        <w:rPr>
          <w:sz w:val="22"/>
          <w:szCs w:val="22"/>
        </w:rPr>
        <w:t xml:space="preserve"> and are called </w:t>
      </w:r>
      <w:r w:rsidR="00511694" w:rsidRPr="005C0F28">
        <w:rPr>
          <w:bCs/>
          <w:sz w:val="22"/>
          <w:szCs w:val="22"/>
        </w:rPr>
        <w:t>amortizing securities</w:t>
      </w:r>
      <w:r w:rsidR="00511694" w:rsidRPr="005C0F28">
        <w:rPr>
          <w:sz w:val="22"/>
          <w:szCs w:val="22"/>
        </w:rPr>
        <w:t>.</w:t>
      </w:r>
    </w:p>
    <w:p w:rsidR="00511694" w:rsidRPr="005C0F28" w:rsidRDefault="00511694" w:rsidP="00E654FC">
      <w:pPr>
        <w:rPr>
          <w:sz w:val="22"/>
          <w:szCs w:val="22"/>
        </w:rPr>
      </w:pPr>
    </w:p>
    <w:p w:rsidR="004602C7" w:rsidRPr="005C0F28" w:rsidRDefault="004602C7" w:rsidP="00C11607">
      <w:pPr>
        <w:pStyle w:val="ListParagraph"/>
        <w:numPr>
          <w:ilvl w:val="0"/>
          <w:numId w:val="11"/>
        </w:numPr>
        <w:autoSpaceDE w:val="0"/>
        <w:autoSpaceDN w:val="0"/>
        <w:adjustRightInd w:val="0"/>
        <w:rPr>
          <w:b/>
          <w:sz w:val="22"/>
          <w:szCs w:val="22"/>
        </w:rPr>
      </w:pPr>
      <w:r w:rsidRPr="005C0F28">
        <w:rPr>
          <w:b/>
          <w:sz w:val="22"/>
          <w:szCs w:val="22"/>
        </w:rPr>
        <w:t>Why is the maturity of an amortizing security not a useful measure?</w:t>
      </w:r>
    </w:p>
    <w:p w:rsidR="00511694" w:rsidRPr="005C0F28" w:rsidRDefault="001B1926" w:rsidP="00C11607">
      <w:pPr>
        <w:ind w:left="720"/>
        <w:rPr>
          <w:sz w:val="22"/>
          <w:szCs w:val="22"/>
        </w:rPr>
      </w:pPr>
      <w:r>
        <w:rPr>
          <w:sz w:val="22"/>
          <w:szCs w:val="22"/>
        </w:rPr>
        <w:t>T</w:t>
      </w:r>
      <w:r w:rsidR="00511694" w:rsidRPr="005C0F28">
        <w:rPr>
          <w:sz w:val="22"/>
          <w:szCs w:val="22"/>
        </w:rPr>
        <w:t xml:space="preserve">he maturity of </w:t>
      </w:r>
      <w:r>
        <w:rPr>
          <w:sz w:val="22"/>
          <w:szCs w:val="22"/>
        </w:rPr>
        <w:t xml:space="preserve">amortizing </w:t>
      </w:r>
      <w:r w:rsidR="00511694" w:rsidRPr="005C0F28">
        <w:rPr>
          <w:sz w:val="22"/>
          <w:szCs w:val="22"/>
        </w:rPr>
        <w:t xml:space="preserve">securities only identifies </w:t>
      </w:r>
      <w:r>
        <w:rPr>
          <w:sz w:val="22"/>
          <w:szCs w:val="22"/>
        </w:rPr>
        <w:t xml:space="preserve">the date of the </w:t>
      </w:r>
      <w:r w:rsidR="00511694" w:rsidRPr="005C0F28">
        <w:rPr>
          <w:sz w:val="22"/>
          <w:szCs w:val="22"/>
        </w:rPr>
        <w:t>final principal payment</w:t>
      </w:r>
      <w:r>
        <w:rPr>
          <w:sz w:val="22"/>
          <w:szCs w:val="22"/>
        </w:rPr>
        <w:t>.</w:t>
      </w:r>
      <w:r w:rsidR="00511694" w:rsidRPr="005C0F28">
        <w:rPr>
          <w:sz w:val="22"/>
          <w:szCs w:val="22"/>
        </w:rPr>
        <w:t xml:space="preserve"> </w:t>
      </w:r>
      <w:r>
        <w:rPr>
          <w:sz w:val="22"/>
          <w:szCs w:val="22"/>
        </w:rPr>
        <w:t xml:space="preserve">Since </w:t>
      </w:r>
      <w:r w:rsidR="00511694" w:rsidRPr="005C0F28">
        <w:rPr>
          <w:sz w:val="22"/>
          <w:szCs w:val="22"/>
        </w:rPr>
        <w:t xml:space="preserve">the repayment of the principal is </w:t>
      </w:r>
      <w:r>
        <w:rPr>
          <w:sz w:val="22"/>
          <w:szCs w:val="22"/>
        </w:rPr>
        <w:t xml:space="preserve">not just at </w:t>
      </w:r>
      <w:r w:rsidR="00511694" w:rsidRPr="005C0F28">
        <w:rPr>
          <w:sz w:val="22"/>
          <w:szCs w:val="22"/>
        </w:rPr>
        <w:t xml:space="preserve">the end of its term to </w:t>
      </w:r>
      <w:r>
        <w:rPr>
          <w:sz w:val="22"/>
          <w:szCs w:val="22"/>
        </w:rPr>
        <w:t xml:space="preserve">maturity, the </w:t>
      </w:r>
      <w:r w:rsidR="00511694" w:rsidRPr="005C0F28">
        <w:rPr>
          <w:sz w:val="22"/>
          <w:szCs w:val="22"/>
        </w:rPr>
        <w:t>maturity is not a useful measure in terms of identifying when the principal is repaid.</w:t>
      </w:r>
    </w:p>
    <w:p w:rsidR="00A54C56" w:rsidRPr="005C0F28" w:rsidRDefault="00A54C56" w:rsidP="00C11607">
      <w:pPr>
        <w:ind w:left="720"/>
        <w:rPr>
          <w:sz w:val="22"/>
          <w:szCs w:val="22"/>
        </w:rPr>
      </w:pPr>
    </w:p>
    <w:p w:rsidR="00D903EA" w:rsidRPr="005C0F28" w:rsidRDefault="00D903EA" w:rsidP="00D903EA">
      <w:pPr>
        <w:pStyle w:val="ListParagraph"/>
        <w:numPr>
          <w:ilvl w:val="0"/>
          <w:numId w:val="20"/>
        </w:numPr>
        <w:autoSpaceDE w:val="0"/>
        <w:autoSpaceDN w:val="0"/>
        <w:adjustRightInd w:val="0"/>
        <w:rPr>
          <w:b/>
          <w:sz w:val="22"/>
          <w:szCs w:val="22"/>
        </w:rPr>
      </w:pPr>
      <w:r w:rsidRPr="005C0F28">
        <w:rPr>
          <w:b/>
          <w:sz w:val="22"/>
          <w:szCs w:val="22"/>
        </w:rPr>
        <w:t>What does a call provision for a bond entitle the issuer to do?</w:t>
      </w:r>
    </w:p>
    <w:p w:rsidR="00D903EA" w:rsidRPr="005C0F28" w:rsidRDefault="00D903EA" w:rsidP="00C11607">
      <w:pPr>
        <w:ind w:left="720"/>
        <w:rPr>
          <w:sz w:val="22"/>
          <w:szCs w:val="22"/>
        </w:rPr>
      </w:pPr>
      <w:r w:rsidRPr="005C0F28">
        <w:rPr>
          <w:sz w:val="22"/>
          <w:szCs w:val="22"/>
        </w:rPr>
        <w:t>A call provision grants the issuer the right to retire (or buy back or repay) the debt, fully or partially, before the scheduled maturity date.</w:t>
      </w:r>
    </w:p>
    <w:p w:rsidR="00D903EA" w:rsidRPr="005C0F28" w:rsidRDefault="00D903EA" w:rsidP="00C11607">
      <w:pPr>
        <w:ind w:left="720"/>
        <w:rPr>
          <w:sz w:val="22"/>
          <w:szCs w:val="22"/>
        </w:rPr>
      </w:pPr>
    </w:p>
    <w:p w:rsidR="00D903EA" w:rsidRPr="005C0F28" w:rsidRDefault="00D903EA" w:rsidP="00D903EA">
      <w:pPr>
        <w:pStyle w:val="ListParagraph"/>
        <w:numPr>
          <w:ilvl w:val="0"/>
          <w:numId w:val="21"/>
        </w:numPr>
        <w:autoSpaceDE w:val="0"/>
        <w:autoSpaceDN w:val="0"/>
        <w:adjustRightInd w:val="0"/>
        <w:rPr>
          <w:b/>
          <w:sz w:val="22"/>
          <w:szCs w:val="22"/>
        </w:rPr>
      </w:pPr>
      <w:r w:rsidRPr="005C0F28">
        <w:rPr>
          <w:b/>
          <w:sz w:val="22"/>
          <w:szCs w:val="22"/>
        </w:rPr>
        <w:t>Answer the below questions.</w:t>
      </w:r>
    </w:p>
    <w:p w:rsidR="00D903EA" w:rsidRPr="005C0F28" w:rsidRDefault="00D903EA" w:rsidP="00D903EA">
      <w:pPr>
        <w:pStyle w:val="ListParagraph"/>
        <w:numPr>
          <w:ilvl w:val="0"/>
          <w:numId w:val="22"/>
        </w:numPr>
        <w:autoSpaceDE w:val="0"/>
        <w:autoSpaceDN w:val="0"/>
        <w:adjustRightInd w:val="0"/>
        <w:rPr>
          <w:b/>
          <w:sz w:val="22"/>
          <w:szCs w:val="22"/>
        </w:rPr>
      </w:pPr>
      <w:r w:rsidRPr="005C0F28">
        <w:rPr>
          <w:b/>
          <w:sz w:val="22"/>
          <w:szCs w:val="22"/>
        </w:rPr>
        <w:t>What is the advantage of a call provision for an issuer?</w:t>
      </w:r>
    </w:p>
    <w:p w:rsidR="001B1926" w:rsidRDefault="005C0F28" w:rsidP="00D903EA">
      <w:pPr>
        <w:ind w:left="720"/>
        <w:rPr>
          <w:sz w:val="22"/>
          <w:szCs w:val="22"/>
        </w:rPr>
      </w:pPr>
      <w:r w:rsidRPr="005C0F28">
        <w:rPr>
          <w:sz w:val="22"/>
          <w:szCs w:val="22"/>
        </w:rPr>
        <w:t xml:space="preserve">A call provision allows </w:t>
      </w:r>
      <w:r w:rsidR="00A73893" w:rsidRPr="005C0F28">
        <w:rPr>
          <w:sz w:val="22"/>
          <w:szCs w:val="22"/>
        </w:rPr>
        <w:t>the issuer (borrower)</w:t>
      </w:r>
      <w:r w:rsidRPr="005C0F28">
        <w:rPr>
          <w:sz w:val="22"/>
          <w:szCs w:val="22"/>
        </w:rPr>
        <w:t xml:space="preserve"> to repay a bond prior to maturity. This </w:t>
      </w:r>
      <w:r w:rsidR="001B1926">
        <w:rPr>
          <w:sz w:val="22"/>
          <w:szCs w:val="22"/>
        </w:rPr>
        <w:t xml:space="preserve">is </w:t>
      </w:r>
      <w:r w:rsidRPr="005C0F28">
        <w:rPr>
          <w:sz w:val="22"/>
          <w:szCs w:val="22"/>
        </w:rPr>
        <w:t xml:space="preserve">advantageous </w:t>
      </w:r>
      <w:r w:rsidR="001B1926">
        <w:rPr>
          <w:sz w:val="22"/>
          <w:szCs w:val="22"/>
        </w:rPr>
        <w:t xml:space="preserve">if </w:t>
      </w:r>
      <w:r w:rsidRPr="005C0F28">
        <w:rPr>
          <w:sz w:val="22"/>
          <w:szCs w:val="22"/>
        </w:rPr>
        <w:t xml:space="preserve">interest rates have fallen (either for the entire market or just the issuer). </w:t>
      </w:r>
    </w:p>
    <w:p w:rsidR="005C0F28" w:rsidRPr="005C0F28" w:rsidRDefault="005C0F28" w:rsidP="00D903EA">
      <w:pPr>
        <w:ind w:left="720"/>
        <w:rPr>
          <w:sz w:val="22"/>
          <w:szCs w:val="22"/>
        </w:rPr>
      </w:pPr>
      <w:r w:rsidRPr="005C0F28">
        <w:rPr>
          <w:sz w:val="22"/>
          <w:szCs w:val="22"/>
        </w:rPr>
        <w:t>If rates have fallen, the issuer can issue new bonds at the new lower rate and use the proceeds to buy back (</w:t>
      </w:r>
      <w:r w:rsidR="001B1926">
        <w:rPr>
          <w:sz w:val="22"/>
          <w:szCs w:val="22"/>
        </w:rPr>
        <w:t xml:space="preserve">or </w:t>
      </w:r>
      <w:r w:rsidRPr="005C0F28">
        <w:rPr>
          <w:sz w:val="22"/>
          <w:szCs w:val="22"/>
        </w:rPr>
        <w:t xml:space="preserve">call or repay) the outstanding higher-rate issue.  </w:t>
      </w:r>
    </w:p>
    <w:p w:rsidR="005C0F28" w:rsidRPr="005C0F28" w:rsidRDefault="005C0F28" w:rsidP="00D903EA">
      <w:pPr>
        <w:ind w:left="720"/>
        <w:rPr>
          <w:sz w:val="22"/>
          <w:szCs w:val="22"/>
        </w:rPr>
      </w:pPr>
    </w:p>
    <w:p w:rsidR="00D903EA" w:rsidRPr="005C0F28" w:rsidRDefault="005C0F28" w:rsidP="00D903EA">
      <w:pPr>
        <w:pStyle w:val="ListParagraph"/>
        <w:numPr>
          <w:ilvl w:val="0"/>
          <w:numId w:val="22"/>
        </w:numPr>
        <w:autoSpaceDE w:val="0"/>
        <w:autoSpaceDN w:val="0"/>
        <w:adjustRightInd w:val="0"/>
        <w:rPr>
          <w:b/>
          <w:sz w:val="22"/>
          <w:szCs w:val="22"/>
        </w:rPr>
      </w:pPr>
      <w:r w:rsidRPr="005C0F28">
        <w:rPr>
          <w:b/>
          <w:sz w:val="22"/>
          <w:szCs w:val="22"/>
        </w:rPr>
        <w:t>What are the disadvantages of a call provision for the bondholder?</w:t>
      </w:r>
    </w:p>
    <w:p w:rsidR="005C0F28" w:rsidRDefault="005C0F28" w:rsidP="00C11607">
      <w:pPr>
        <w:ind w:left="720"/>
        <w:rPr>
          <w:sz w:val="22"/>
          <w:szCs w:val="22"/>
        </w:rPr>
      </w:pPr>
      <w:r>
        <w:rPr>
          <w:sz w:val="22"/>
          <w:szCs w:val="22"/>
        </w:rPr>
        <w:t>Generally an issuer will only call a bond when rates are lower. Therefore the bondholder will get the principal back</w:t>
      </w:r>
      <w:r w:rsidR="001B1926">
        <w:rPr>
          <w:sz w:val="22"/>
          <w:szCs w:val="22"/>
        </w:rPr>
        <w:t xml:space="preserve"> - </w:t>
      </w:r>
      <w:r>
        <w:rPr>
          <w:sz w:val="22"/>
          <w:szCs w:val="22"/>
        </w:rPr>
        <w:t>and therefore have to relend the money</w:t>
      </w:r>
      <w:r w:rsidR="001B1926">
        <w:rPr>
          <w:sz w:val="22"/>
          <w:szCs w:val="22"/>
        </w:rPr>
        <w:t xml:space="preserve"> by buying a new bond - </w:t>
      </w:r>
      <w:r>
        <w:rPr>
          <w:sz w:val="22"/>
          <w:szCs w:val="22"/>
        </w:rPr>
        <w:t xml:space="preserve">only when rates have dropped.  </w:t>
      </w:r>
    </w:p>
    <w:p w:rsidR="005C0F28" w:rsidRDefault="005C0F28" w:rsidP="00C11607">
      <w:pPr>
        <w:ind w:left="720"/>
        <w:rPr>
          <w:sz w:val="22"/>
          <w:szCs w:val="22"/>
        </w:rPr>
      </w:pPr>
    </w:p>
    <w:p w:rsidR="00D903EA" w:rsidRDefault="005C0F28" w:rsidP="00C11607">
      <w:pPr>
        <w:ind w:left="720"/>
        <w:rPr>
          <w:sz w:val="22"/>
          <w:szCs w:val="22"/>
        </w:rPr>
      </w:pPr>
      <w:r>
        <w:rPr>
          <w:sz w:val="22"/>
          <w:szCs w:val="22"/>
        </w:rPr>
        <w:t xml:space="preserve">Note that the bondholder receives a </w:t>
      </w:r>
      <w:r w:rsidR="00A7451E" w:rsidRPr="00A7451E">
        <w:rPr>
          <w:b/>
          <w:i/>
          <w:sz w:val="22"/>
          <w:szCs w:val="22"/>
        </w:rPr>
        <w:t>HIGHER</w:t>
      </w:r>
      <w:r>
        <w:rPr>
          <w:sz w:val="22"/>
          <w:szCs w:val="22"/>
        </w:rPr>
        <w:t xml:space="preserve"> coupon rate on a callable issue relative to a non-callable issue to compensate the bondholder for the call option granted to the issuer.  </w:t>
      </w:r>
    </w:p>
    <w:p w:rsidR="005C0F28" w:rsidRDefault="005C0F28" w:rsidP="00C11607">
      <w:pPr>
        <w:ind w:left="720"/>
        <w:rPr>
          <w:sz w:val="22"/>
          <w:szCs w:val="22"/>
        </w:rPr>
      </w:pPr>
    </w:p>
    <w:p w:rsidR="005C0F28" w:rsidRDefault="005C0F28" w:rsidP="00C11607">
      <w:pPr>
        <w:ind w:left="720"/>
        <w:rPr>
          <w:sz w:val="22"/>
          <w:szCs w:val="22"/>
        </w:rPr>
      </w:pPr>
    </w:p>
    <w:p w:rsidR="004602C7" w:rsidRPr="005C0F28" w:rsidRDefault="004602C7" w:rsidP="00C11607">
      <w:pPr>
        <w:pStyle w:val="ListParagraph"/>
        <w:numPr>
          <w:ilvl w:val="0"/>
          <w:numId w:val="13"/>
        </w:numPr>
        <w:autoSpaceDE w:val="0"/>
        <w:autoSpaceDN w:val="0"/>
        <w:adjustRightInd w:val="0"/>
        <w:rPr>
          <w:b/>
          <w:sz w:val="22"/>
          <w:szCs w:val="22"/>
        </w:rPr>
      </w:pPr>
      <w:r w:rsidRPr="005C0F28">
        <w:rPr>
          <w:b/>
          <w:sz w:val="22"/>
          <w:szCs w:val="22"/>
        </w:rPr>
        <w:lastRenderedPageBreak/>
        <w:t>What does the put provision for a bond entitle the bondholder to do?</w:t>
      </w:r>
    </w:p>
    <w:p w:rsidR="00A54C56" w:rsidRDefault="00A54C56" w:rsidP="00C11607">
      <w:pPr>
        <w:ind w:left="360"/>
        <w:rPr>
          <w:sz w:val="22"/>
          <w:szCs w:val="22"/>
        </w:rPr>
      </w:pPr>
      <w:r w:rsidRPr="005C0F28">
        <w:rPr>
          <w:sz w:val="22"/>
          <w:szCs w:val="22"/>
        </w:rPr>
        <w:t xml:space="preserve">An issue with a </w:t>
      </w:r>
      <w:r w:rsidRPr="005C0F28">
        <w:rPr>
          <w:bCs/>
          <w:sz w:val="22"/>
          <w:szCs w:val="22"/>
        </w:rPr>
        <w:t xml:space="preserve">put provision </w:t>
      </w:r>
      <w:r w:rsidRPr="005C0F28">
        <w:rPr>
          <w:sz w:val="22"/>
          <w:szCs w:val="22"/>
        </w:rPr>
        <w:t>included in the indenture grants the bondholder the right to sell the issue back to the issuer at par value on designated dates. The advantage to the bondholder is related to the possibility that if interest rates rise after the issue date (thereby reducing a bond’s price) the bondholder can force the issuer to redeem the bond at par value.</w:t>
      </w:r>
    </w:p>
    <w:p w:rsidR="001B1926" w:rsidRDefault="001B1926" w:rsidP="00C11607">
      <w:pPr>
        <w:ind w:left="360"/>
        <w:rPr>
          <w:sz w:val="22"/>
          <w:szCs w:val="22"/>
        </w:rPr>
      </w:pPr>
    </w:p>
    <w:p w:rsidR="001B1926" w:rsidRPr="005C0F28" w:rsidRDefault="001B1926" w:rsidP="00C11607">
      <w:pPr>
        <w:ind w:left="360"/>
        <w:rPr>
          <w:sz w:val="22"/>
          <w:szCs w:val="22"/>
        </w:rPr>
      </w:pPr>
      <w:r>
        <w:rPr>
          <w:sz w:val="22"/>
          <w:szCs w:val="22"/>
        </w:rPr>
        <w:t xml:space="preserve">Note that put provisions are usually conditional on the issuing borrower company violating a condition of the loan (called a covenant). </w:t>
      </w:r>
      <w:r w:rsidR="00A7451E">
        <w:rPr>
          <w:sz w:val="22"/>
          <w:szCs w:val="22"/>
        </w:rPr>
        <w:t xml:space="preserve">Lenders (bond holders) usually can’t demand their money back at any time. </w:t>
      </w:r>
    </w:p>
    <w:p w:rsidR="00E654FC" w:rsidRPr="005C0F28" w:rsidRDefault="00E654FC" w:rsidP="00E654FC">
      <w:pPr>
        <w:autoSpaceDE w:val="0"/>
        <w:autoSpaceDN w:val="0"/>
        <w:adjustRightInd w:val="0"/>
        <w:rPr>
          <w:sz w:val="22"/>
          <w:szCs w:val="22"/>
        </w:rPr>
      </w:pPr>
    </w:p>
    <w:p w:rsidR="004602C7" w:rsidRPr="005C0F28" w:rsidRDefault="004602C7" w:rsidP="00C11607">
      <w:pPr>
        <w:pStyle w:val="ListParagraph"/>
        <w:numPr>
          <w:ilvl w:val="0"/>
          <w:numId w:val="15"/>
        </w:numPr>
        <w:autoSpaceDE w:val="0"/>
        <w:autoSpaceDN w:val="0"/>
        <w:adjustRightInd w:val="0"/>
        <w:rPr>
          <w:b/>
          <w:sz w:val="22"/>
          <w:szCs w:val="22"/>
        </w:rPr>
      </w:pPr>
      <w:r w:rsidRPr="005C0F28">
        <w:rPr>
          <w:b/>
          <w:sz w:val="22"/>
          <w:szCs w:val="22"/>
        </w:rPr>
        <w:t>What are a convertible bond and an exchangeable bond?</w:t>
      </w:r>
    </w:p>
    <w:p w:rsidR="00A7451E" w:rsidRDefault="004776A0" w:rsidP="00C11607">
      <w:pPr>
        <w:ind w:left="360"/>
        <w:rPr>
          <w:sz w:val="22"/>
          <w:szCs w:val="22"/>
        </w:rPr>
      </w:pPr>
      <w:r w:rsidRPr="005C0F28">
        <w:rPr>
          <w:sz w:val="22"/>
          <w:szCs w:val="22"/>
        </w:rPr>
        <w:t xml:space="preserve">A </w:t>
      </w:r>
      <w:r w:rsidRPr="00C61A69">
        <w:rPr>
          <w:b/>
          <w:bCs/>
          <w:i/>
          <w:sz w:val="22"/>
          <w:szCs w:val="22"/>
        </w:rPr>
        <w:t>convertible bond</w:t>
      </w:r>
      <w:r w:rsidRPr="005C0F28">
        <w:rPr>
          <w:bCs/>
          <w:sz w:val="22"/>
          <w:szCs w:val="22"/>
        </w:rPr>
        <w:t xml:space="preserve"> </w:t>
      </w:r>
      <w:r w:rsidRPr="005C0F28">
        <w:rPr>
          <w:sz w:val="22"/>
          <w:szCs w:val="22"/>
        </w:rPr>
        <w:t xml:space="preserve">is an issue giving the bondholder the right to </w:t>
      </w:r>
      <w:r w:rsidR="00A7451E">
        <w:rPr>
          <w:sz w:val="22"/>
          <w:szCs w:val="22"/>
        </w:rPr>
        <w:t xml:space="preserve">give up the principal and all future coupons </w:t>
      </w:r>
      <w:r w:rsidRPr="005C0F28">
        <w:rPr>
          <w:sz w:val="22"/>
          <w:szCs w:val="22"/>
        </w:rPr>
        <w:t xml:space="preserve">for a specified number of shares of common stock. Such a feature allows the bondholder to take advantage of </w:t>
      </w:r>
      <w:r w:rsidR="00A7451E">
        <w:rPr>
          <w:sz w:val="22"/>
          <w:szCs w:val="22"/>
        </w:rPr>
        <w:t xml:space="preserve">a </w:t>
      </w:r>
      <w:r w:rsidRPr="005C0F28">
        <w:rPr>
          <w:sz w:val="22"/>
          <w:szCs w:val="22"/>
        </w:rPr>
        <w:t xml:space="preserve">favorable price of the issuer’s common stock. </w:t>
      </w:r>
    </w:p>
    <w:p w:rsidR="00A7451E" w:rsidRDefault="00A7451E" w:rsidP="00C11607">
      <w:pPr>
        <w:ind w:left="360"/>
        <w:rPr>
          <w:sz w:val="22"/>
          <w:szCs w:val="22"/>
        </w:rPr>
      </w:pPr>
    </w:p>
    <w:p w:rsidR="00A7451E" w:rsidRDefault="00A7451E" w:rsidP="00C11607">
      <w:pPr>
        <w:ind w:left="360"/>
        <w:rPr>
          <w:sz w:val="22"/>
          <w:szCs w:val="22"/>
        </w:rPr>
      </w:pPr>
      <w:r>
        <w:rPr>
          <w:sz w:val="22"/>
          <w:szCs w:val="22"/>
        </w:rPr>
        <w:t>For example, if a $1,000 face value bond can be converted to 50 shares of common stock, the bond holder might exercise the convert option if the stock’s price was above $1,000/50 = $20 (plus the PV of future coupon payments).</w:t>
      </w:r>
    </w:p>
    <w:p w:rsidR="00A7451E" w:rsidRDefault="00A7451E" w:rsidP="00C11607">
      <w:pPr>
        <w:ind w:left="360"/>
        <w:rPr>
          <w:sz w:val="22"/>
          <w:szCs w:val="22"/>
        </w:rPr>
      </w:pPr>
    </w:p>
    <w:p w:rsidR="00A7451E" w:rsidRDefault="00A7451E" w:rsidP="00C11607">
      <w:pPr>
        <w:ind w:left="360"/>
        <w:rPr>
          <w:sz w:val="22"/>
          <w:szCs w:val="22"/>
        </w:rPr>
      </w:pPr>
      <w:r>
        <w:rPr>
          <w:sz w:val="22"/>
          <w:szCs w:val="22"/>
        </w:rPr>
        <w:t xml:space="preserve">Generally convertible bonds are issued by start-ups, which usually do not pay dividends.  </w:t>
      </w:r>
    </w:p>
    <w:p w:rsidR="00A7451E" w:rsidRDefault="00A7451E" w:rsidP="00C11607">
      <w:pPr>
        <w:ind w:left="360"/>
        <w:rPr>
          <w:sz w:val="22"/>
          <w:szCs w:val="22"/>
        </w:rPr>
      </w:pPr>
    </w:p>
    <w:p w:rsidR="004776A0" w:rsidRPr="005C0F28" w:rsidRDefault="004776A0" w:rsidP="00C11607">
      <w:pPr>
        <w:ind w:left="360"/>
        <w:rPr>
          <w:sz w:val="22"/>
          <w:szCs w:val="22"/>
        </w:rPr>
      </w:pPr>
      <w:r w:rsidRPr="005C0F28">
        <w:rPr>
          <w:sz w:val="22"/>
          <w:szCs w:val="22"/>
        </w:rPr>
        <w:t xml:space="preserve">An </w:t>
      </w:r>
      <w:r w:rsidRPr="00A7451E">
        <w:rPr>
          <w:b/>
          <w:bCs/>
          <w:i/>
          <w:sz w:val="22"/>
          <w:szCs w:val="22"/>
        </w:rPr>
        <w:t>exchangeable bond</w:t>
      </w:r>
      <w:r w:rsidRPr="005C0F28">
        <w:rPr>
          <w:bCs/>
          <w:sz w:val="22"/>
          <w:szCs w:val="22"/>
        </w:rPr>
        <w:t xml:space="preserve"> </w:t>
      </w:r>
      <w:r w:rsidRPr="005C0F28">
        <w:rPr>
          <w:sz w:val="22"/>
          <w:szCs w:val="22"/>
        </w:rPr>
        <w:t xml:space="preserve">allows the bondholder to exchange the </w:t>
      </w:r>
      <w:r w:rsidR="00A7451E">
        <w:rPr>
          <w:sz w:val="22"/>
          <w:szCs w:val="22"/>
        </w:rPr>
        <w:t xml:space="preserve">bond </w:t>
      </w:r>
      <w:r w:rsidRPr="005C0F28">
        <w:rPr>
          <w:sz w:val="22"/>
          <w:szCs w:val="22"/>
        </w:rPr>
        <w:t>for a specified number of common stock shares of a corporation differ</w:t>
      </w:r>
      <w:r w:rsidR="00A7451E">
        <w:rPr>
          <w:sz w:val="22"/>
          <w:szCs w:val="22"/>
        </w:rPr>
        <w:t xml:space="preserve">ent from the issuer of the bond – often a subsidiary of the issuers. </w:t>
      </w:r>
    </w:p>
    <w:p w:rsidR="004776A0" w:rsidRDefault="004776A0" w:rsidP="00E654FC">
      <w:pPr>
        <w:rPr>
          <w:sz w:val="22"/>
          <w:szCs w:val="22"/>
        </w:rPr>
      </w:pPr>
    </w:p>
    <w:p w:rsidR="00A7451E" w:rsidRDefault="00A7451E" w:rsidP="00A7451E">
      <w:pPr>
        <w:ind w:left="360"/>
        <w:rPr>
          <w:sz w:val="22"/>
          <w:szCs w:val="22"/>
        </w:rPr>
      </w:pPr>
      <w:r>
        <w:rPr>
          <w:sz w:val="22"/>
          <w:szCs w:val="22"/>
        </w:rPr>
        <w:t xml:space="preserve">Note that the bondholder receives a </w:t>
      </w:r>
      <w:r w:rsidRPr="00A7451E">
        <w:rPr>
          <w:b/>
          <w:i/>
          <w:sz w:val="22"/>
          <w:szCs w:val="22"/>
        </w:rPr>
        <w:t>LOWER</w:t>
      </w:r>
      <w:r>
        <w:rPr>
          <w:sz w:val="22"/>
          <w:szCs w:val="22"/>
        </w:rPr>
        <w:t xml:space="preserve"> coupon rate on a convertible or exchangeable bond relative to a straight </w:t>
      </w:r>
      <w:r w:rsidR="00C61A69">
        <w:rPr>
          <w:sz w:val="22"/>
          <w:szCs w:val="22"/>
        </w:rPr>
        <w:t xml:space="preserve">bond </w:t>
      </w:r>
      <w:r>
        <w:rPr>
          <w:sz w:val="22"/>
          <w:szCs w:val="22"/>
        </w:rPr>
        <w:t xml:space="preserve">to compensate the issuer for the option granted to the bondholder.  </w:t>
      </w:r>
    </w:p>
    <w:p w:rsidR="00A7451E" w:rsidRDefault="00A7451E" w:rsidP="00E654FC">
      <w:pPr>
        <w:rPr>
          <w:sz w:val="22"/>
          <w:szCs w:val="22"/>
        </w:rPr>
      </w:pPr>
    </w:p>
    <w:p w:rsidR="00A7451E" w:rsidRPr="005C0F28" w:rsidRDefault="00A7451E" w:rsidP="00E654FC">
      <w:pPr>
        <w:rPr>
          <w:sz w:val="22"/>
          <w:szCs w:val="22"/>
        </w:rPr>
      </w:pPr>
    </w:p>
    <w:p w:rsidR="004602C7" w:rsidRPr="003E2843" w:rsidRDefault="004602C7" w:rsidP="00C11607">
      <w:pPr>
        <w:pStyle w:val="ListParagraph"/>
        <w:numPr>
          <w:ilvl w:val="0"/>
          <w:numId w:val="15"/>
        </w:numPr>
        <w:autoSpaceDE w:val="0"/>
        <w:autoSpaceDN w:val="0"/>
        <w:adjustRightInd w:val="0"/>
        <w:rPr>
          <w:b/>
          <w:sz w:val="22"/>
          <w:szCs w:val="22"/>
        </w:rPr>
      </w:pPr>
      <w:r w:rsidRPr="003E2843">
        <w:rPr>
          <w:b/>
          <w:sz w:val="22"/>
          <w:szCs w:val="22"/>
        </w:rPr>
        <w:t>How do market participants gauge the default risk of a bond issue?</w:t>
      </w:r>
    </w:p>
    <w:p w:rsidR="003E2843" w:rsidRDefault="003E2843" w:rsidP="00C11607">
      <w:pPr>
        <w:ind w:left="360"/>
        <w:rPr>
          <w:sz w:val="22"/>
          <w:szCs w:val="22"/>
        </w:rPr>
      </w:pPr>
      <w:r>
        <w:rPr>
          <w:sz w:val="22"/>
          <w:szCs w:val="22"/>
        </w:rPr>
        <w:t>Credit risk is measured by t</w:t>
      </w:r>
      <w:r w:rsidR="004776A0" w:rsidRPr="003E2843">
        <w:rPr>
          <w:sz w:val="22"/>
          <w:szCs w:val="22"/>
        </w:rPr>
        <w:t xml:space="preserve">he </w:t>
      </w:r>
      <w:r w:rsidR="004776A0" w:rsidRPr="003E2843">
        <w:rPr>
          <w:bCs/>
          <w:sz w:val="22"/>
          <w:szCs w:val="22"/>
        </w:rPr>
        <w:t xml:space="preserve">default rating </w:t>
      </w:r>
      <w:r w:rsidR="004776A0" w:rsidRPr="003E2843">
        <w:rPr>
          <w:sz w:val="22"/>
          <w:szCs w:val="22"/>
        </w:rPr>
        <w:t xml:space="preserve">or </w:t>
      </w:r>
      <w:r w:rsidR="004776A0" w:rsidRPr="003E2843">
        <w:rPr>
          <w:bCs/>
          <w:sz w:val="22"/>
          <w:szCs w:val="22"/>
        </w:rPr>
        <w:t xml:space="preserve">credit rating </w:t>
      </w:r>
      <w:r w:rsidR="004776A0" w:rsidRPr="003E2843">
        <w:rPr>
          <w:sz w:val="22"/>
          <w:szCs w:val="22"/>
        </w:rPr>
        <w:t>assigned to a bond issue by one of the three rating companies—Standard &amp; Poor’s, Moody’s, and Fitch.</w:t>
      </w:r>
      <w:r w:rsidR="00C11607" w:rsidRPr="003E2843">
        <w:rPr>
          <w:sz w:val="22"/>
          <w:szCs w:val="22"/>
        </w:rPr>
        <w:t xml:space="preserve">  </w:t>
      </w:r>
    </w:p>
    <w:p w:rsidR="003E2843" w:rsidRDefault="003E2843" w:rsidP="00C11607">
      <w:pPr>
        <w:ind w:left="360"/>
        <w:rPr>
          <w:sz w:val="22"/>
          <w:szCs w:val="22"/>
        </w:rPr>
      </w:pPr>
    </w:p>
    <w:p w:rsidR="004776A0" w:rsidRPr="005C0F28" w:rsidRDefault="003E2843" w:rsidP="00C11607">
      <w:pPr>
        <w:ind w:left="360"/>
        <w:rPr>
          <w:sz w:val="22"/>
          <w:szCs w:val="22"/>
        </w:rPr>
      </w:pPr>
      <w:r>
        <w:rPr>
          <w:sz w:val="22"/>
          <w:szCs w:val="22"/>
        </w:rPr>
        <w:t xml:space="preserve">Often market participants will engage in credit analysis. Market participants analyze an issuer to assess </w:t>
      </w:r>
      <w:r w:rsidR="00C11607" w:rsidRPr="003E2843">
        <w:rPr>
          <w:sz w:val="22"/>
          <w:szCs w:val="22"/>
        </w:rPr>
        <w:t xml:space="preserve">future cash flows generated by the borrower available to pay debt. </w:t>
      </w:r>
      <w:r>
        <w:rPr>
          <w:sz w:val="22"/>
          <w:szCs w:val="22"/>
        </w:rPr>
        <w:t>For corporations this is EBITDA. For government and municipal borrowers, this is tax revenue or revenue from activates the bond has financed. C</w:t>
      </w:r>
      <w:r w:rsidR="00C11607" w:rsidRPr="003E2843">
        <w:rPr>
          <w:sz w:val="22"/>
          <w:szCs w:val="22"/>
        </w:rPr>
        <w:t xml:space="preserve">redit analysis is performed </w:t>
      </w:r>
      <w:r>
        <w:rPr>
          <w:sz w:val="22"/>
          <w:szCs w:val="22"/>
        </w:rPr>
        <w:t>“</w:t>
      </w:r>
      <w:r w:rsidR="00C11607" w:rsidRPr="003E2843">
        <w:rPr>
          <w:sz w:val="22"/>
          <w:szCs w:val="22"/>
        </w:rPr>
        <w:t>in-house</w:t>
      </w:r>
      <w:r>
        <w:rPr>
          <w:sz w:val="22"/>
          <w:szCs w:val="22"/>
        </w:rPr>
        <w:t>”</w:t>
      </w:r>
      <w:r w:rsidR="00C11607" w:rsidRPr="003E2843">
        <w:rPr>
          <w:sz w:val="22"/>
          <w:szCs w:val="22"/>
        </w:rPr>
        <w:t xml:space="preserve"> by most large bond purchasers.</w:t>
      </w:r>
      <w:r w:rsidR="00C11607" w:rsidRPr="005C0F28">
        <w:rPr>
          <w:sz w:val="22"/>
          <w:szCs w:val="22"/>
        </w:rPr>
        <w:t xml:space="preserve"> </w:t>
      </w:r>
    </w:p>
    <w:p w:rsidR="004776A0" w:rsidRPr="005C0F28" w:rsidRDefault="004776A0" w:rsidP="00E654FC">
      <w:pPr>
        <w:rPr>
          <w:sz w:val="22"/>
          <w:szCs w:val="22"/>
        </w:rPr>
      </w:pPr>
    </w:p>
    <w:p w:rsidR="004602C7" w:rsidRPr="003F0545" w:rsidRDefault="004602C7" w:rsidP="00C11607">
      <w:pPr>
        <w:pStyle w:val="ListParagraph"/>
        <w:numPr>
          <w:ilvl w:val="0"/>
          <w:numId w:val="15"/>
        </w:numPr>
        <w:autoSpaceDE w:val="0"/>
        <w:autoSpaceDN w:val="0"/>
        <w:adjustRightInd w:val="0"/>
        <w:rPr>
          <w:b/>
          <w:sz w:val="22"/>
          <w:szCs w:val="22"/>
        </w:rPr>
      </w:pPr>
      <w:r w:rsidRPr="003F0545">
        <w:rPr>
          <w:b/>
          <w:sz w:val="22"/>
          <w:szCs w:val="22"/>
        </w:rPr>
        <w:t>Comment on the following statement: Credit risk is more than the risk that an issuer will default.</w:t>
      </w:r>
    </w:p>
    <w:p w:rsidR="003F0545" w:rsidRDefault="004776A0" w:rsidP="00C11607">
      <w:pPr>
        <w:ind w:left="360"/>
        <w:rPr>
          <w:sz w:val="22"/>
          <w:szCs w:val="22"/>
        </w:rPr>
      </w:pPr>
      <w:r w:rsidRPr="005C0F28">
        <w:rPr>
          <w:sz w:val="22"/>
          <w:szCs w:val="22"/>
        </w:rPr>
        <w:t xml:space="preserve">The yield on a bond </w:t>
      </w:r>
      <w:r w:rsidR="003F0545">
        <w:rPr>
          <w:sz w:val="22"/>
          <w:szCs w:val="22"/>
        </w:rPr>
        <w:t xml:space="preserve">has </w:t>
      </w:r>
      <w:r w:rsidRPr="005C0F28">
        <w:rPr>
          <w:sz w:val="22"/>
          <w:szCs w:val="22"/>
        </w:rPr>
        <w:t xml:space="preserve">made </w:t>
      </w:r>
      <w:r w:rsidR="003F0545">
        <w:rPr>
          <w:sz w:val="22"/>
          <w:szCs w:val="22"/>
        </w:rPr>
        <w:t xml:space="preserve">three main </w:t>
      </w:r>
      <w:r w:rsidRPr="005C0F28">
        <w:rPr>
          <w:sz w:val="22"/>
          <w:szCs w:val="22"/>
        </w:rPr>
        <w:t xml:space="preserve">components: </w:t>
      </w:r>
    </w:p>
    <w:p w:rsidR="003F0545" w:rsidRDefault="003F0545" w:rsidP="003F0545">
      <w:pPr>
        <w:pStyle w:val="ListParagraph"/>
        <w:numPr>
          <w:ilvl w:val="0"/>
          <w:numId w:val="23"/>
        </w:numPr>
        <w:rPr>
          <w:sz w:val="22"/>
          <w:szCs w:val="22"/>
        </w:rPr>
      </w:pPr>
      <w:r w:rsidRPr="003F0545">
        <w:rPr>
          <w:sz w:val="22"/>
          <w:szCs w:val="22"/>
        </w:rPr>
        <w:t xml:space="preserve">the “pure time value of money” measured by </w:t>
      </w:r>
      <w:r w:rsidR="004776A0" w:rsidRPr="003F0545">
        <w:rPr>
          <w:sz w:val="22"/>
          <w:szCs w:val="22"/>
        </w:rPr>
        <w:t xml:space="preserve">the yield on a similar maturity Treasury </w:t>
      </w:r>
    </w:p>
    <w:p w:rsidR="00651613" w:rsidRPr="003F0545" w:rsidRDefault="00651613" w:rsidP="003F0545">
      <w:pPr>
        <w:pStyle w:val="ListParagraph"/>
        <w:numPr>
          <w:ilvl w:val="0"/>
          <w:numId w:val="23"/>
        </w:numPr>
        <w:rPr>
          <w:sz w:val="22"/>
          <w:szCs w:val="22"/>
        </w:rPr>
      </w:pPr>
      <w:r w:rsidRPr="003F0545">
        <w:rPr>
          <w:sz w:val="22"/>
          <w:szCs w:val="22"/>
        </w:rPr>
        <w:t xml:space="preserve">a premium to compensate for the </w:t>
      </w:r>
      <w:r w:rsidR="00267E54">
        <w:rPr>
          <w:sz w:val="22"/>
          <w:szCs w:val="22"/>
        </w:rPr>
        <w:t xml:space="preserve">liquidity </w:t>
      </w:r>
      <w:r w:rsidRPr="003F0545">
        <w:rPr>
          <w:sz w:val="22"/>
          <w:szCs w:val="22"/>
        </w:rPr>
        <w:t>risk</w:t>
      </w:r>
      <w:r w:rsidR="00267E54">
        <w:rPr>
          <w:sz w:val="22"/>
          <w:szCs w:val="22"/>
        </w:rPr>
        <w:t xml:space="preserve"> (relatively small) </w:t>
      </w:r>
    </w:p>
    <w:p w:rsidR="00267E54" w:rsidRDefault="004776A0" w:rsidP="003F0545">
      <w:pPr>
        <w:pStyle w:val="ListParagraph"/>
        <w:numPr>
          <w:ilvl w:val="0"/>
          <w:numId w:val="23"/>
        </w:numPr>
        <w:rPr>
          <w:sz w:val="22"/>
          <w:szCs w:val="22"/>
        </w:rPr>
      </w:pPr>
      <w:r w:rsidRPr="003F0545">
        <w:rPr>
          <w:sz w:val="22"/>
          <w:szCs w:val="22"/>
        </w:rPr>
        <w:t xml:space="preserve">a premium to compensate for the </w:t>
      </w:r>
      <w:r w:rsidR="00267E54">
        <w:rPr>
          <w:sz w:val="22"/>
          <w:szCs w:val="22"/>
        </w:rPr>
        <w:t>default risk (relatively large)</w:t>
      </w:r>
    </w:p>
    <w:p w:rsidR="00267E54" w:rsidRDefault="00267E54" w:rsidP="00267E54">
      <w:pPr>
        <w:pStyle w:val="ListParagraph"/>
        <w:ind w:left="1080"/>
        <w:rPr>
          <w:sz w:val="22"/>
          <w:szCs w:val="22"/>
        </w:rPr>
      </w:pPr>
    </w:p>
    <w:p w:rsidR="00267E54" w:rsidRDefault="00267E54" w:rsidP="00267E54">
      <w:pPr>
        <w:ind w:left="360"/>
        <w:rPr>
          <w:sz w:val="22"/>
          <w:szCs w:val="22"/>
        </w:rPr>
      </w:pPr>
      <w:r w:rsidRPr="00267E54">
        <w:rPr>
          <w:sz w:val="22"/>
          <w:szCs w:val="22"/>
        </w:rPr>
        <w:t xml:space="preserve">The difference </w:t>
      </w:r>
      <w:r>
        <w:rPr>
          <w:sz w:val="22"/>
          <w:szCs w:val="22"/>
        </w:rPr>
        <w:t xml:space="preserve">between the bond’s and yield and the T-bond’s yield </w:t>
      </w:r>
      <w:r w:rsidRPr="00267E54">
        <w:rPr>
          <w:sz w:val="22"/>
          <w:szCs w:val="22"/>
        </w:rPr>
        <w:t xml:space="preserve">is called the </w:t>
      </w:r>
      <w:r w:rsidR="004776A0" w:rsidRPr="00267E54">
        <w:rPr>
          <w:sz w:val="22"/>
          <w:szCs w:val="22"/>
        </w:rPr>
        <w:t>risk premium or spread</w:t>
      </w:r>
      <w:r>
        <w:rPr>
          <w:sz w:val="22"/>
          <w:szCs w:val="22"/>
        </w:rPr>
        <w:t xml:space="preserve">. The </w:t>
      </w:r>
      <w:r>
        <w:rPr>
          <w:sz w:val="22"/>
          <w:szCs w:val="22"/>
        </w:rPr>
        <w:t>portion of the</w:t>
      </w:r>
      <w:r>
        <w:rPr>
          <w:sz w:val="22"/>
          <w:szCs w:val="22"/>
        </w:rPr>
        <w:t xml:space="preserve"> spread </w:t>
      </w:r>
      <w:r w:rsidR="004776A0" w:rsidRPr="00267E54">
        <w:rPr>
          <w:sz w:val="22"/>
          <w:szCs w:val="22"/>
        </w:rPr>
        <w:t xml:space="preserve">attributable to default risk is called the </w:t>
      </w:r>
      <w:r w:rsidR="004776A0" w:rsidRPr="00267E54">
        <w:rPr>
          <w:b/>
          <w:bCs/>
          <w:i/>
          <w:sz w:val="22"/>
          <w:szCs w:val="22"/>
        </w:rPr>
        <w:t>credit spread</w:t>
      </w:r>
      <w:r w:rsidR="004776A0" w:rsidRPr="00267E54">
        <w:rPr>
          <w:sz w:val="22"/>
          <w:szCs w:val="22"/>
        </w:rPr>
        <w:t xml:space="preserve">. </w:t>
      </w:r>
    </w:p>
    <w:p w:rsidR="00267E54" w:rsidRDefault="00267E54" w:rsidP="00267E54">
      <w:pPr>
        <w:ind w:left="360"/>
        <w:rPr>
          <w:sz w:val="22"/>
          <w:szCs w:val="22"/>
        </w:rPr>
      </w:pPr>
    </w:p>
    <w:p w:rsidR="004776A0" w:rsidRPr="00267E54" w:rsidRDefault="00267E54" w:rsidP="00267E54">
      <w:pPr>
        <w:ind w:left="360"/>
        <w:rPr>
          <w:sz w:val="22"/>
          <w:szCs w:val="22"/>
        </w:rPr>
      </w:pPr>
      <w:r>
        <w:rPr>
          <w:sz w:val="22"/>
          <w:szCs w:val="22"/>
        </w:rPr>
        <w:t xml:space="preserve">Credit risk refers not only to the risk associated with a bonds default, but also the risk that the </w:t>
      </w:r>
      <w:r w:rsidR="004776A0" w:rsidRPr="00267E54">
        <w:rPr>
          <w:sz w:val="22"/>
          <w:szCs w:val="22"/>
        </w:rPr>
        <w:t xml:space="preserve">credit spread </w:t>
      </w:r>
      <w:r>
        <w:rPr>
          <w:sz w:val="22"/>
          <w:szCs w:val="22"/>
        </w:rPr>
        <w:t xml:space="preserve">will </w:t>
      </w:r>
      <w:r w:rsidR="004776A0" w:rsidRPr="00267E54">
        <w:rPr>
          <w:sz w:val="22"/>
          <w:szCs w:val="22"/>
        </w:rPr>
        <w:t>increase</w:t>
      </w:r>
      <w:r>
        <w:rPr>
          <w:sz w:val="22"/>
          <w:szCs w:val="22"/>
        </w:rPr>
        <w:t xml:space="preserve">. If the credit spread increases, the YTM increases and the bond price decreases. </w:t>
      </w:r>
    </w:p>
    <w:p w:rsidR="004776A0" w:rsidRPr="005C0F28" w:rsidRDefault="004776A0" w:rsidP="00E654FC">
      <w:pPr>
        <w:rPr>
          <w:sz w:val="22"/>
          <w:szCs w:val="22"/>
        </w:rPr>
      </w:pPr>
    </w:p>
    <w:p w:rsidR="004602C7" w:rsidRPr="005C0F28" w:rsidRDefault="004602C7" w:rsidP="00FB27E6">
      <w:pPr>
        <w:pStyle w:val="ListParagraph"/>
        <w:numPr>
          <w:ilvl w:val="0"/>
          <w:numId w:val="15"/>
        </w:numPr>
        <w:autoSpaceDE w:val="0"/>
        <w:autoSpaceDN w:val="0"/>
        <w:adjustRightInd w:val="0"/>
        <w:rPr>
          <w:b/>
          <w:sz w:val="22"/>
          <w:szCs w:val="22"/>
        </w:rPr>
      </w:pPr>
      <w:r w:rsidRPr="005C0F28">
        <w:rPr>
          <w:b/>
          <w:sz w:val="22"/>
          <w:szCs w:val="22"/>
        </w:rPr>
        <w:lastRenderedPageBreak/>
        <w:t>Explain whether you agree or disagree with the following statement: “Because my bond is guaranteed by an insurance company, I have eliminated credit risk.”</w:t>
      </w:r>
    </w:p>
    <w:p w:rsidR="00267E54" w:rsidRDefault="004776A0" w:rsidP="00FB27E6">
      <w:pPr>
        <w:autoSpaceDE w:val="0"/>
        <w:autoSpaceDN w:val="0"/>
        <w:adjustRightInd w:val="0"/>
        <w:ind w:left="360"/>
        <w:rPr>
          <w:sz w:val="22"/>
          <w:szCs w:val="22"/>
        </w:rPr>
      </w:pPr>
      <w:r w:rsidRPr="005C0F28">
        <w:rPr>
          <w:sz w:val="22"/>
          <w:szCs w:val="22"/>
        </w:rPr>
        <w:t xml:space="preserve">Credit risk consists of three types of risk: default risk, credit spread risk, and downgrade risk. These risks are not necessarily eliminated if there is a financial guaranty by a nongovernment third-party entity such as a private insurance company. This is because insurance companies themselves can face financial difficulties. </w:t>
      </w:r>
    </w:p>
    <w:p w:rsidR="00267E54" w:rsidRDefault="00267E54" w:rsidP="00FB27E6">
      <w:pPr>
        <w:autoSpaceDE w:val="0"/>
        <w:autoSpaceDN w:val="0"/>
        <w:adjustRightInd w:val="0"/>
        <w:ind w:left="360"/>
        <w:rPr>
          <w:sz w:val="22"/>
          <w:szCs w:val="22"/>
        </w:rPr>
      </w:pPr>
    </w:p>
    <w:p w:rsidR="004776A0" w:rsidRPr="005C0F28" w:rsidRDefault="004776A0" w:rsidP="00FB27E6">
      <w:pPr>
        <w:autoSpaceDE w:val="0"/>
        <w:autoSpaceDN w:val="0"/>
        <w:adjustRightInd w:val="0"/>
        <w:ind w:left="360"/>
        <w:rPr>
          <w:sz w:val="22"/>
          <w:szCs w:val="22"/>
        </w:rPr>
      </w:pPr>
      <w:r w:rsidRPr="005C0F28">
        <w:rPr>
          <w:sz w:val="22"/>
          <w:szCs w:val="22"/>
        </w:rPr>
        <w:t xml:space="preserve">This </w:t>
      </w:r>
      <w:r w:rsidR="00267E54">
        <w:rPr>
          <w:sz w:val="22"/>
          <w:szCs w:val="22"/>
        </w:rPr>
        <w:t xml:space="preserve">occurred </w:t>
      </w:r>
      <w:r w:rsidRPr="005C0F28">
        <w:rPr>
          <w:sz w:val="22"/>
          <w:szCs w:val="22"/>
        </w:rPr>
        <w:t>at the end of 2007 when specialized insurance companies that provide financial guarantees faced financial difficulties and the downgrading of their own credit rating. Thus, one would disagree with the statement because one’s bond guarantee is only as good as the insurance company guaranteeing it.</w:t>
      </w:r>
    </w:p>
    <w:p w:rsidR="00C11607" w:rsidRPr="005C0F28" w:rsidRDefault="00C11607" w:rsidP="00E654FC">
      <w:pPr>
        <w:autoSpaceDE w:val="0"/>
        <w:autoSpaceDN w:val="0"/>
        <w:adjustRightInd w:val="0"/>
        <w:rPr>
          <w:sz w:val="22"/>
          <w:szCs w:val="22"/>
        </w:rPr>
      </w:pPr>
    </w:p>
    <w:p w:rsidR="004602C7" w:rsidRPr="005C0F28" w:rsidRDefault="004602C7" w:rsidP="00FB27E6">
      <w:pPr>
        <w:pStyle w:val="ListParagraph"/>
        <w:numPr>
          <w:ilvl w:val="0"/>
          <w:numId w:val="19"/>
        </w:numPr>
        <w:autoSpaceDE w:val="0"/>
        <w:autoSpaceDN w:val="0"/>
        <w:adjustRightInd w:val="0"/>
        <w:rPr>
          <w:b/>
          <w:sz w:val="22"/>
          <w:szCs w:val="22"/>
        </w:rPr>
      </w:pPr>
      <w:r w:rsidRPr="005C0F28">
        <w:rPr>
          <w:b/>
          <w:sz w:val="22"/>
          <w:szCs w:val="22"/>
        </w:rPr>
        <w:t>What is meant by marking a position to market?</w:t>
      </w:r>
    </w:p>
    <w:p w:rsidR="00FB27E6" w:rsidRPr="005C0F28" w:rsidRDefault="00FB27E6" w:rsidP="00FB27E6">
      <w:pPr>
        <w:ind w:left="360"/>
        <w:rPr>
          <w:bCs/>
          <w:sz w:val="22"/>
          <w:szCs w:val="22"/>
        </w:rPr>
      </w:pPr>
      <w:r w:rsidRPr="005C0F28">
        <w:rPr>
          <w:sz w:val="22"/>
          <w:szCs w:val="22"/>
        </w:rPr>
        <w:t xml:space="preserve">Marking a position to market means </w:t>
      </w:r>
      <w:r w:rsidR="001A49D6" w:rsidRPr="005C0F28">
        <w:rPr>
          <w:bCs/>
          <w:sz w:val="22"/>
          <w:szCs w:val="22"/>
        </w:rPr>
        <w:t xml:space="preserve">reporting the value of </w:t>
      </w:r>
      <w:r w:rsidRPr="005C0F28">
        <w:rPr>
          <w:bCs/>
          <w:sz w:val="22"/>
          <w:szCs w:val="22"/>
        </w:rPr>
        <w:t xml:space="preserve">a holding at the current market price, not </w:t>
      </w:r>
      <w:r w:rsidR="001A49D6" w:rsidRPr="005C0F28">
        <w:rPr>
          <w:bCs/>
          <w:sz w:val="22"/>
          <w:szCs w:val="22"/>
        </w:rPr>
        <w:t>th</w:t>
      </w:r>
      <w:r w:rsidRPr="005C0F28">
        <w:rPr>
          <w:bCs/>
          <w:sz w:val="22"/>
          <w:szCs w:val="22"/>
        </w:rPr>
        <w:t>e</w:t>
      </w:r>
      <w:r w:rsidR="001A49D6" w:rsidRPr="005C0F28">
        <w:rPr>
          <w:bCs/>
          <w:sz w:val="22"/>
          <w:szCs w:val="22"/>
        </w:rPr>
        <w:t xml:space="preserve"> book value </w:t>
      </w:r>
      <w:r w:rsidRPr="005C0F28">
        <w:rPr>
          <w:bCs/>
          <w:sz w:val="22"/>
          <w:szCs w:val="22"/>
        </w:rPr>
        <w:t xml:space="preserve">or purchase price. This is called mark-to-market. It is relatively easy procedure for actively traded, liquid assets such as on-the-run treasuries or large stocks but can be more difficult for illiquid or unique assets.  </w:t>
      </w:r>
    </w:p>
    <w:p w:rsidR="00FB27E6" w:rsidRPr="005C0F28" w:rsidRDefault="00FB27E6" w:rsidP="00FB27E6">
      <w:pPr>
        <w:ind w:left="360"/>
        <w:rPr>
          <w:bCs/>
          <w:sz w:val="22"/>
          <w:szCs w:val="22"/>
        </w:rPr>
      </w:pPr>
    </w:p>
    <w:p w:rsidR="00FB27E6" w:rsidRPr="005C0F28" w:rsidRDefault="00FB27E6" w:rsidP="00FB27E6">
      <w:pPr>
        <w:ind w:left="360"/>
        <w:rPr>
          <w:bCs/>
          <w:sz w:val="22"/>
          <w:szCs w:val="22"/>
        </w:rPr>
      </w:pPr>
      <w:r w:rsidRPr="005C0F28">
        <w:rPr>
          <w:bCs/>
          <w:sz w:val="22"/>
          <w:szCs w:val="22"/>
        </w:rPr>
        <w:t xml:space="preserve">Sometimes an </w:t>
      </w:r>
      <w:r w:rsidRPr="00267E54">
        <w:rPr>
          <w:b/>
          <w:bCs/>
          <w:i/>
          <w:sz w:val="22"/>
          <w:szCs w:val="22"/>
        </w:rPr>
        <w:t>estimated</w:t>
      </w:r>
      <w:r w:rsidRPr="005C0F28">
        <w:rPr>
          <w:bCs/>
          <w:sz w:val="22"/>
          <w:szCs w:val="22"/>
        </w:rPr>
        <w:t xml:space="preserve"> price </w:t>
      </w:r>
      <w:r w:rsidR="00267E54">
        <w:rPr>
          <w:bCs/>
          <w:sz w:val="22"/>
          <w:szCs w:val="22"/>
        </w:rPr>
        <w:t xml:space="preserve">based on formula using the market price </w:t>
      </w:r>
      <w:r w:rsidRPr="005C0F28">
        <w:rPr>
          <w:bCs/>
          <w:sz w:val="22"/>
          <w:szCs w:val="22"/>
        </w:rPr>
        <w:t>of similar securities</w:t>
      </w:r>
      <w:r w:rsidR="00267E54">
        <w:rPr>
          <w:bCs/>
          <w:sz w:val="22"/>
          <w:szCs w:val="22"/>
        </w:rPr>
        <w:t xml:space="preserve"> is used. </w:t>
      </w:r>
      <w:r w:rsidRPr="005C0F28">
        <w:rPr>
          <w:bCs/>
          <w:sz w:val="22"/>
          <w:szCs w:val="22"/>
        </w:rPr>
        <w:t>This is called “mark-to-</w:t>
      </w:r>
      <w:r w:rsidRPr="00267E54">
        <w:rPr>
          <w:b/>
          <w:bCs/>
          <w:i/>
          <w:sz w:val="22"/>
          <w:szCs w:val="22"/>
        </w:rPr>
        <w:t>model</w:t>
      </w:r>
      <w:r w:rsidRPr="005C0F28">
        <w:rPr>
          <w:bCs/>
          <w:sz w:val="22"/>
          <w:szCs w:val="22"/>
        </w:rPr>
        <w:t xml:space="preserve">.” </w:t>
      </w:r>
    </w:p>
    <w:p w:rsidR="00FB27E6" w:rsidRPr="005C0F28" w:rsidRDefault="00FB27E6" w:rsidP="00FB27E6">
      <w:pPr>
        <w:ind w:left="360"/>
        <w:rPr>
          <w:bCs/>
          <w:sz w:val="22"/>
          <w:szCs w:val="22"/>
        </w:rPr>
      </w:pPr>
    </w:p>
    <w:p w:rsidR="001A49D6" w:rsidRPr="005C0F28" w:rsidRDefault="00FB27E6" w:rsidP="00FB27E6">
      <w:pPr>
        <w:ind w:left="360"/>
        <w:rPr>
          <w:sz w:val="22"/>
          <w:szCs w:val="22"/>
        </w:rPr>
      </w:pPr>
      <w:r w:rsidRPr="005C0F28">
        <w:rPr>
          <w:bCs/>
          <w:sz w:val="22"/>
          <w:szCs w:val="22"/>
        </w:rPr>
        <w:t>The term mark-</w:t>
      </w:r>
      <w:r w:rsidR="001A49D6" w:rsidRPr="005C0F28">
        <w:rPr>
          <w:bCs/>
          <w:sz w:val="22"/>
          <w:szCs w:val="22"/>
        </w:rPr>
        <w:t>to</w:t>
      </w:r>
      <w:r w:rsidRPr="005C0F28">
        <w:rPr>
          <w:bCs/>
          <w:sz w:val="22"/>
          <w:szCs w:val="22"/>
        </w:rPr>
        <w:t>-</w:t>
      </w:r>
      <w:r w:rsidR="001A49D6" w:rsidRPr="005C0F28">
        <w:rPr>
          <w:bCs/>
          <w:sz w:val="22"/>
          <w:szCs w:val="22"/>
        </w:rPr>
        <w:t>market also refer</w:t>
      </w:r>
      <w:r w:rsidRPr="005C0F28">
        <w:rPr>
          <w:bCs/>
          <w:sz w:val="22"/>
          <w:szCs w:val="22"/>
        </w:rPr>
        <w:t>s</w:t>
      </w:r>
      <w:r w:rsidR="001A49D6" w:rsidRPr="005C0F28">
        <w:rPr>
          <w:bCs/>
          <w:sz w:val="22"/>
          <w:szCs w:val="22"/>
        </w:rPr>
        <w:t xml:space="preserve"> to </w:t>
      </w:r>
      <w:r w:rsidRPr="005C0F28">
        <w:rPr>
          <w:bCs/>
          <w:sz w:val="22"/>
          <w:szCs w:val="22"/>
        </w:rPr>
        <w:t>adjusting the money in a futures or options margin account</w:t>
      </w:r>
      <w:r w:rsidR="001A49D6" w:rsidRPr="005C0F28">
        <w:rPr>
          <w:bCs/>
          <w:sz w:val="22"/>
          <w:szCs w:val="22"/>
        </w:rPr>
        <w:t>.</w:t>
      </w:r>
    </w:p>
    <w:p w:rsidR="004602C7" w:rsidRPr="005C0F28" w:rsidRDefault="004602C7" w:rsidP="00E654FC">
      <w:pPr>
        <w:autoSpaceDE w:val="0"/>
        <w:autoSpaceDN w:val="0"/>
        <w:adjustRightInd w:val="0"/>
        <w:rPr>
          <w:sz w:val="22"/>
          <w:szCs w:val="22"/>
        </w:rPr>
      </w:pPr>
    </w:p>
    <w:p w:rsidR="004602C7" w:rsidRPr="005C0F28" w:rsidRDefault="004602C7" w:rsidP="00FB27E6">
      <w:pPr>
        <w:pStyle w:val="ListParagraph"/>
        <w:numPr>
          <w:ilvl w:val="0"/>
          <w:numId w:val="19"/>
        </w:numPr>
        <w:autoSpaceDE w:val="0"/>
        <w:autoSpaceDN w:val="0"/>
        <w:adjustRightInd w:val="0"/>
        <w:rPr>
          <w:b/>
          <w:sz w:val="22"/>
          <w:szCs w:val="22"/>
        </w:rPr>
      </w:pPr>
      <w:r w:rsidRPr="005C0F28">
        <w:rPr>
          <w:b/>
          <w:sz w:val="22"/>
          <w:szCs w:val="22"/>
        </w:rPr>
        <w:t>What is meant by a CUSIP number, and why is it important?</w:t>
      </w:r>
    </w:p>
    <w:p w:rsidR="00267E54" w:rsidRDefault="00267E54" w:rsidP="00FB27E6">
      <w:pPr>
        <w:autoSpaceDE w:val="0"/>
        <w:autoSpaceDN w:val="0"/>
        <w:adjustRightInd w:val="0"/>
        <w:ind w:left="360"/>
        <w:rPr>
          <w:sz w:val="22"/>
          <w:szCs w:val="22"/>
        </w:rPr>
      </w:pPr>
      <w:r w:rsidRPr="005C0F28">
        <w:rPr>
          <w:sz w:val="22"/>
          <w:szCs w:val="22"/>
        </w:rPr>
        <w:t xml:space="preserve">CUSIP stands for Committee on Uniform Security Identification Procedures. </w:t>
      </w:r>
    </w:p>
    <w:p w:rsidR="00267E54" w:rsidRDefault="00FB27E6" w:rsidP="00FB27E6">
      <w:pPr>
        <w:autoSpaceDE w:val="0"/>
        <w:autoSpaceDN w:val="0"/>
        <w:adjustRightInd w:val="0"/>
        <w:ind w:left="360"/>
        <w:rPr>
          <w:sz w:val="22"/>
          <w:szCs w:val="22"/>
        </w:rPr>
      </w:pPr>
      <w:r w:rsidRPr="005C0F28">
        <w:rPr>
          <w:sz w:val="22"/>
          <w:szCs w:val="22"/>
        </w:rPr>
        <w:t>A</w:t>
      </w:r>
      <w:r w:rsidR="001A49D6" w:rsidRPr="005C0F28">
        <w:rPr>
          <w:sz w:val="22"/>
          <w:szCs w:val="22"/>
        </w:rPr>
        <w:t xml:space="preserve"> CUSIP number</w:t>
      </w:r>
      <w:r w:rsidRPr="005C0F28">
        <w:rPr>
          <w:sz w:val="22"/>
          <w:szCs w:val="22"/>
        </w:rPr>
        <w:t xml:space="preserve"> is a </w:t>
      </w:r>
      <w:r w:rsidR="001A49D6" w:rsidRPr="005C0F28">
        <w:rPr>
          <w:sz w:val="22"/>
          <w:szCs w:val="22"/>
        </w:rPr>
        <w:t xml:space="preserve">unique </w:t>
      </w:r>
      <w:r w:rsidR="00267E54">
        <w:rPr>
          <w:sz w:val="22"/>
          <w:szCs w:val="22"/>
        </w:rPr>
        <w:t xml:space="preserve">identification </w:t>
      </w:r>
      <w:r w:rsidR="001A49D6" w:rsidRPr="005C0F28">
        <w:rPr>
          <w:sz w:val="22"/>
          <w:szCs w:val="22"/>
        </w:rPr>
        <w:t xml:space="preserve">number assigned to security to identify it. </w:t>
      </w:r>
    </w:p>
    <w:p w:rsidR="00267E54" w:rsidRDefault="001A49D6" w:rsidP="00FB27E6">
      <w:pPr>
        <w:autoSpaceDE w:val="0"/>
        <w:autoSpaceDN w:val="0"/>
        <w:adjustRightInd w:val="0"/>
        <w:ind w:left="360"/>
        <w:rPr>
          <w:sz w:val="22"/>
          <w:szCs w:val="22"/>
        </w:rPr>
      </w:pPr>
      <w:r w:rsidRPr="005C0F28">
        <w:rPr>
          <w:sz w:val="22"/>
          <w:szCs w:val="22"/>
        </w:rPr>
        <w:t xml:space="preserve">For securities that have nine characters, the first six characters identify the issuer: the corporation, government agency, or municipality. </w:t>
      </w:r>
    </w:p>
    <w:p w:rsidR="00267E54" w:rsidRDefault="001A49D6" w:rsidP="00FB27E6">
      <w:pPr>
        <w:autoSpaceDE w:val="0"/>
        <w:autoSpaceDN w:val="0"/>
        <w:adjustRightInd w:val="0"/>
        <w:ind w:left="360"/>
        <w:rPr>
          <w:sz w:val="22"/>
          <w:szCs w:val="22"/>
        </w:rPr>
      </w:pPr>
      <w:r w:rsidRPr="005C0F28">
        <w:rPr>
          <w:sz w:val="22"/>
          <w:szCs w:val="22"/>
        </w:rPr>
        <w:t xml:space="preserve">The next two characters identify whether the issue is debt or equity and the issuer of the issue. </w:t>
      </w:r>
    </w:p>
    <w:p w:rsidR="002A7605" w:rsidRDefault="001A49D6" w:rsidP="00FB27E6">
      <w:pPr>
        <w:autoSpaceDE w:val="0"/>
        <w:autoSpaceDN w:val="0"/>
        <w:adjustRightInd w:val="0"/>
        <w:ind w:left="360"/>
        <w:rPr>
          <w:sz w:val="22"/>
          <w:szCs w:val="22"/>
        </w:rPr>
      </w:pPr>
      <w:r w:rsidRPr="005C0F28">
        <w:rPr>
          <w:sz w:val="22"/>
          <w:szCs w:val="22"/>
        </w:rPr>
        <w:t xml:space="preserve">The last character is simply a check character that allows for accuracy checking and is sometimes truncated or ignored. </w:t>
      </w:r>
    </w:p>
    <w:p w:rsidR="007F769A" w:rsidRPr="005C0F28" w:rsidRDefault="001A49D6" w:rsidP="00FB27E6">
      <w:pPr>
        <w:autoSpaceDE w:val="0"/>
        <w:autoSpaceDN w:val="0"/>
        <w:adjustRightInd w:val="0"/>
        <w:ind w:left="360"/>
        <w:rPr>
          <w:sz w:val="22"/>
          <w:szCs w:val="22"/>
        </w:rPr>
      </w:pPr>
      <w:r w:rsidRPr="005C0F28">
        <w:rPr>
          <w:sz w:val="22"/>
          <w:szCs w:val="22"/>
        </w:rPr>
        <w:t>The CUSIP International Numbering System (CINS) is used to identify foreign securities and includes 12 characters.</w:t>
      </w:r>
    </w:p>
    <w:p w:rsidR="00E654FC" w:rsidRPr="005C0F28" w:rsidRDefault="00E654FC" w:rsidP="00E654FC">
      <w:pPr>
        <w:autoSpaceDE w:val="0"/>
        <w:autoSpaceDN w:val="0"/>
        <w:adjustRightInd w:val="0"/>
        <w:rPr>
          <w:sz w:val="22"/>
          <w:szCs w:val="22"/>
        </w:rPr>
      </w:pPr>
    </w:p>
    <w:p w:rsidR="00E654FC" w:rsidRPr="005C0F28" w:rsidRDefault="00E654FC" w:rsidP="00E654FC">
      <w:pPr>
        <w:rPr>
          <w:b/>
          <w:sz w:val="22"/>
          <w:szCs w:val="22"/>
        </w:rPr>
      </w:pPr>
      <w:r w:rsidRPr="005C0F28">
        <w:rPr>
          <w:b/>
          <w:sz w:val="22"/>
          <w:szCs w:val="22"/>
        </w:rPr>
        <w:t>Additional Questions:</w:t>
      </w:r>
    </w:p>
    <w:p w:rsidR="00FB20BD" w:rsidRPr="005C0F28" w:rsidRDefault="00FB20BD" w:rsidP="00E654FC">
      <w:pPr>
        <w:rPr>
          <w:b/>
          <w:sz w:val="22"/>
          <w:szCs w:val="22"/>
        </w:rPr>
      </w:pPr>
    </w:p>
    <w:p w:rsidR="00E654FC" w:rsidRPr="005C0F28" w:rsidRDefault="00E654FC" w:rsidP="00E654FC">
      <w:pPr>
        <w:pStyle w:val="ListParagraph"/>
        <w:numPr>
          <w:ilvl w:val="0"/>
          <w:numId w:val="1"/>
        </w:numPr>
        <w:jc w:val="both"/>
        <w:rPr>
          <w:b/>
          <w:sz w:val="22"/>
          <w:szCs w:val="22"/>
        </w:rPr>
      </w:pPr>
      <w:r w:rsidRPr="005C0F28">
        <w:rPr>
          <w:b/>
          <w:sz w:val="22"/>
          <w:szCs w:val="22"/>
        </w:rPr>
        <w:t>Briefly Define</w:t>
      </w:r>
    </w:p>
    <w:p w:rsidR="00E654FC" w:rsidRPr="005C0F28" w:rsidRDefault="00E654FC" w:rsidP="00E654FC">
      <w:pPr>
        <w:pStyle w:val="ListParagraph"/>
        <w:numPr>
          <w:ilvl w:val="0"/>
          <w:numId w:val="2"/>
        </w:numPr>
        <w:jc w:val="both"/>
        <w:rPr>
          <w:b/>
          <w:sz w:val="22"/>
          <w:szCs w:val="22"/>
        </w:rPr>
      </w:pPr>
      <w:r w:rsidRPr="005C0F28">
        <w:rPr>
          <w:b/>
          <w:sz w:val="22"/>
          <w:szCs w:val="22"/>
        </w:rPr>
        <w:t>The Treasury Sector</w:t>
      </w:r>
    </w:p>
    <w:p w:rsidR="00E654FC" w:rsidRPr="005C0F28" w:rsidRDefault="00E654FC" w:rsidP="00E654FC">
      <w:pPr>
        <w:pStyle w:val="ListParagraph"/>
        <w:numPr>
          <w:ilvl w:val="0"/>
          <w:numId w:val="2"/>
        </w:numPr>
        <w:jc w:val="both"/>
        <w:rPr>
          <w:b/>
          <w:sz w:val="22"/>
          <w:szCs w:val="22"/>
        </w:rPr>
      </w:pPr>
      <w:r w:rsidRPr="005C0F28">
        <w:rPr>
          <w:b/>
          <w:sz w:val="22"/>
          <w:szCs w:val="22"/>
        </w:rPr>
        <w:t>The Agency Sector</w:t>
      </w:r>
    </w:p>
    <w:p w:rsidR="00E654FC" w:rsidRPr="005C0F28" w:rsidRDefault="00E654FC" w:rsidP="00E654FC">
      <w:pPr>
        <w:pStyle w:val="ListParagraph"/>
        <w:numPr>
          <w:ilvl w:val="0"/>
          <w:numId w:val="2"/>
        </w:numPr>
        <w:jc w:val="both"/>
        <w:rPr>
          <w:b/>
          <w:sz w:val="22"/>
          <w:szCs w:val="22"/>
        </w:rPr>
      </w:pPr>
      <w:r w:rsidRPr="005C0F28">
        <w:rPr>
          <w:b/>
          <w:sz w:val="22"/>
          <w:szCs w:val="22"/>
        </w:rPr>
        <w:t>The Municipal Sector</w:t>
      </w:r>
    </w:p>
    <w:p w:rsidR="00E654FC" w:rsidRPr="005C0F28" w:rsidRDefault="00E654FC" w:rsidP="00E654FC">
      <w:pPr>
        <w:pStyle w:val="ListParagraph"/>
        <w:numPr>
          <w:ilvl w:val="0"/>
          <w:numId w:val="2"/>
        </w:numPr>
        <w:jc w:val="both"/>
        <w:rPr>
          <w:b/>
          <w:sz w:val="22"/>
          <w:szCs w:val="22"/>
        </w:rPr>
      </w:pPr>
      <w:r w:rsidRPr="005C0F28">
        <w:rPr>
          <w:b/>
          <w:sz w:val="22"/>
          <w:szCs w:val="22"/>
        </w:rPr>
        <w:t>The Corporate Sector</w:t>
      </w:r>
    </w:p>
    <w:p w:rsidR="00E654FC" w:rsidRPr="005C0F28" w:rsidRDefault="00E654FC" w:rsidP="00E654FC">
      <w:pPr>
        <w:pStyle w:val="ListParagraph"/>
        <w:numPr>
          <w:ilvl w:val="0"/>
          <w:numId w:val="2"/>
        </w:numPr>
        <w:jc w:val="both"/>
        <w:rPr>
          <w:b/>
          <w:sz w:val="22"/>
          <w:szCs w:val="22"/>
        </w:rPr>
      </w:pPr>
      <w:r w:rsidRPr="005C0F28">
        <w:rPr>
          <w:b/>
          <w:sz w:val="22"/>
          <w:szCs w:val="22"/>
        </w:rPr>
        <w:t>The Asset-Backed Securities Sector</w:t>
      </w:r>
    </w:p>
    <w:p w:rsidR="00E654FC" w:rsidRPr="005C0F28" w:rsidRDefault="00E654FC" w:rsidP="00E654FC">
      <w:pPr>
        <w:pStyle w:val="ListParagraph"/>
        <w:numPr>
          <w:ilvl w:val="0"/>
          <w:numId w:val="2"/>
        </w:numPr>
        <w:jc w:val="both"/>
        <w:rPr>
          <w:b/>
          <w:sz w:val="22"/>
          <w:szCs w:val="22"/>
        </w:rPr>
      </w:pPr>
      <w:r w:rsidRPr="005C0F28">
        <w:rPr>
          <w:b/>
          <w:sz w:val="22"/>
          <w:szCs w:val="22"/>
        </w:rPr>
        <w:t>The Mortgage Sector</w:t>
      </w:r>
    </w:p>
    <w:p w:rsidR="00E654FC" w:rsidRPr="005C0F28" w:rsidRDefault="00E654FC" w:rsidP="00E654FC">
      <w:pPr>
        <w:rPr>
          <w:b/>
          <w:sz w:val="22"/>
          <w:szCs w:val="22"/>
        </w:rPr>
      </w:pPr>
    </w:p>
    <w:p w:rsidR="00E654FC" w:rsidRPr="005C0F28" w:rsidRDefault="00E654FC" w:rsidP="00E654FC">
      <w:pPr>
        <w:pStyle w:val="ListParagraph"/>
        <w:numPr>
          <w:ilvl w:val="0"/>
          <w:numId w:val="1"/>
        </w:numPr>
        <w:rPr>
          <w:b/>
          <w:sz w:val="22"/>
          <w:szCs w:val="22"/>
        </w:rPr>
      </w:pPr>
      <w:r w:rsidRPr="005C0F28">
        <w:rPr>
          <w:b/>
          <w:sz w:val="22"/>
          <w:szCs w:val="22"/>
        </w:rPr>
        <w:t xml:space="preserve">Describe the CFs of </w:t>
      </w:r>
    </w:p>
    <w:p w:rsidR="00E654FC" w:rsidRPr="005C0F28" w:rsidRDefault="00E654FC" w:rsidP="00E654FC">
      <w:pPr>
        <w:pStyle w:val="ListParagraph"/>
        <w:numPr>
          <w:ilvl w:val="0"/>
          <w:numId w:val="3"/>
        </w:numPr>
        <w:rPr>
          <w:b/>
          <w:sz w:val="22"/>
          <w:szCs w:val="22"/>
        </w:rPr>
      </w:pPr>
      <w:r w:rsidRPr="005C0F28">
        <w:rPr>
          <w:b/>
          <w:sz w:val="22"/>
          <w:szCs w:val="22"/>
        </w:rPr>
        <w:t>A coupon bond</w:t>
      </w:r>
    </w:p>
    <w:p w:rsidR="00E654FC" w:rsidRPr="005C0F28" w:rsidRDefault="00E654FC" w:rsidP="00E654FC">
      <w:pPr>
        <w:pStyle w:val="ListParagraph"/>
        <w:numPr>
          <w:ilvl w:val="0"/>
          <w:numId w:val="3"/>
        </w:numPr>
        <w:rPr>
          <w:b/>
          <w:sz w:val="22"/>
          <w:szCs w:val="22"/>
        </w:rPr>
      </w:pPr>
      <w:r w:rsidRPr="005C0F28">
        <w:rPr>
          <w:b/>
          <w:sz w:val="22"/>
          <w:szCs w:val="22"/>
        </w:rPr>
        <w:t>A zero coupon bond</w:t>
      </w:r>
    </w:p>
    <w:p w:rsidR="00E654FC" w:rsidRPr="005C0F28" w:rsidRDefault="00E654FC" w:rsidP="00E654FC">
      <w:pPr>
        <w:pStyle w:val="ListParagraph"/>
        <w:numPr>
          <w:ilvl w:val="0"/>
          <w:numId w:val="3"/>
        </w:numPr>
        <w:rPr>
          <w:b/>
          <w:sz w:val="22"/>
          <w:szCs w:val="22"/>
        </w:rPr>
      </w:pPr>
      <w:r w:rsidRPr="005C0F28">
        <w:rPr>
          <w:b/>
          <w:sz w:val="22"/>
          <w:szCs w:val="22"/>
        </w:rPr>
        <w:t>A floating rate bond</w:t>
      </w:r>
    </w:p>
    <w:p w:rsidR="00E654FC" w:rsidRDefault="00E654FC" w:rsidP="00E654FC">
      <w:pPr>
        <w:rPr>
          <w:b/>
          <w:sz w:val="22"/>
          <w:szCs w:val="22"/>
        </w:rPr>
      </w:pPr>
    </w:p>
    <w:p w:rsidR="002A7605" w:rsidRDefault="002A7605" w:rsidP="00E654FC">
      <w:pPr>
        <w:rPr>
          <w:b/>
          <w:sz w:val="22"/>
          <w:szCs w:val="22"/>
        </w:rPr>
      </w:pPr>
    </w:p>
    <w:p w:rsidR="002A7605" w:rsidRPr="005C0F28" w:rsidRDefault="002A7605" w:rsidP="00E654FC">
      <w:pPr>
        <w:rPr>
          <w:b/>
          <w:sz w:val="22"/>
          <w:szCs w:val="22"/>
        </w:rPr>
      </w:pPr>
    </w:p>
    <w:p w:rsidR="00E654FC" w:rsidRPr="005C0F28" w:rsidRDefault="00E654FC" w:rsidP="00E654FC">
      <w:pPr>
        <w:pStyle w:val="ListParagraph"/>
        <w:numPr>
          <w:ilvl w:val="0"/>
          <w:numId w:val="1"/>
        </w:numPr>
        <w:jc w:val="both"/>
        <w:rPr>
          <w:b/>
          <w:sz w:val="22"/>
          <w:szCs w:val="22"/>
        </w:rPr>
      </w:pPr>
      <w:r w:rsidRPr="005C0F28">
        <w:rPr>
          <w:b/>
          <w:sz w:val="22"/>
          <w:szCs w:val="22"/>
        </w:rPr>
        <w:lastRenderedPageBreak/>
        <w:t>Briefly Define</w:t>
      </w:r>
    </w:p>
    <w:p w:rsidR="00E654FC" w:rsidRPr="005C0F28" w:rsidRDefault="00E654FC" w:rsidP="00E654FC">
      <w:pPr>
        <w:pStyle w:val="ListParagraph"/>
        <w:numPr>
          <w:ilvl w:val="0"/>
          <w:numId w:val="4"/>
        </w:numPr>
        <w:jc w:val="both"/>
        <w:rPr>
          <w:b/>
          <w:sz w:val="22"/>
          <w:szCs w:val="22"/>
        </w:rPr>
      </w:pPr>
      <w:r w:rsidRPr="005C0F28">
        <w:rPr>
          <w:b/>
          <w:sz w:val="22"/>
          <w:szCs w:val="22"/>
        </w:rPr>
        <w:t>Interest-Rate Risk</w:t>
      </w:r>
    </w:p>
    <w:p w:rsidR="00E654FC" w:rsidRPr="005C0F28" w:rsidRDefault="00E654FC" w:rsidP="00E654FC">
      <w:pPr>
        <w:pStyle w:val="ListParagraph"/>
        <w:numPr>
          <w:ilvl w:val="0"/>
          <w:numId w:val="4"/>
        </w:numPr>
        <w:jc w:val="both"/>
        <w:rPr>
          <w:b/>
          <w:sz w:val="22"/>
          <w:szCs w:val="22"/>
        </w:rPr>
      </w:pPr>
      <w:r w:rsidRPr="005C0F28">
        <w:rPr>
          <w:b/>
          <w:sz w:val="22"/>
          <w:szCs w:val="22"/>
        </w:rPr>
        <w:t>Reinvestment Risk</w:t>
      </w:r>
    </w:p>
    <w:p w:rsidR="00E654FC" w:rsidRPr="005C0F28" w:rsidRDefault="00E654FC" w:rsidP="00E654FC">
      <w:pPr>
        <w:pStyle w:val="ListParagraph"/>
        <w:numPr>
          <w:ilvl w:val="0"/>
          <w:numId w:val="4"/>
        </w:numPr>
        <w:jc w:val="both"/>
        <w:rPr>
          <w:b/>
          <w:sz w:val="22"/>
          <w:szCs w:val="22"/>
        </w:rPr>
      </w:pPr>
      <w:r w:rsidRPr="005C0F28">
        <w:rPr>
          <w:b/>
          <w:sz w:val="22"/>
          <w:szCs w:val="22"/>
        </w:rPr>
        <w:t>Call Risk</w:t>
      </w:r>
    </w:p>
    <w:p w:rsidR="00E654FC" w:rsidRPr="005C0F28" w:rsidRDefault="00E654FC" w:rsidP="00E654FC">
      <w:pPr>
        <w:pStyle w:val="ListParagraph"/>
        <w:numPr>
          <w:ilvl w:val="0"/>
          <w:numId w:val="4"/>
        </w:numPr>
        <w:jc w:val="both"/>
        <w:rPr>
          <w:b/>
          <w:sz w:val="22"/>
          <w:szCs w:val="22"/>
        </w:rPr>
      </w:pPr>
      <w:r w:rsidRPr="005C0F28">
        <w:rPr>
          <w:b/>
          <w:sz w:val="22"/>
          <w:szCs w:val="22"/>
        </w:rPr>
        <w:t>Credit Risk</w:t>
      </w:r>
    </w:p>
    <w:p w:rsidR="00E654FC" w:rsidRPr="005C0F28" w:rsidRDefault="00E654FC" w:rsidP="00E654FC">
      <w:pPr>
        <w:pStyle w:val="ListParagraph"/>
        <w:numPr>
          <w:ilvl w:val="0"/>
          <w:numId w:val="4"/>
        </w:numPr>
        <w:jc w:val="both"/>
        <w:rPr>
          <w:b/>
          <w:sz w:val="22"/>
          <w:szCs w:val="22"/>
        </w:rPr>
      </w:pPr>
      <w:r w:rsidRPr="005C0F28">
        <w:rPr>
          <w:b/>
          <w:sz w:val="22"/>
          <w:szCs w:val="22"/>
        </w:rPr>
        <w:t>Inflation Risk</w:t>
      </w:r>
    </w:p>
    <w:p w:rsidR="00E654FC" w:rsidRPr="005C0F28" w:rsidRDefault="00E654FC" w:rsidP="00E654FC">
      <w:pPr>
        <w:pStyle w:val="ListParagraph"/>
        <w:numPr>
          <w:ilvl w:val="0"/>
          <w:numId w:val="4"/>
        </w:numPr>
        <w:jc w:val="both"/>
        <w:rPr>
          <w:b/>
          <w:sz w:val="22"/>
          <w:szCs w:val="22"/>
        </w:rPr>
      </w:pPr>
      <w:r w:rsidRPr="005C0F28">
        <w:rPr>
          <w:b/>
          <w:sz w:val="22"/>
          <w:szCs w:val="22"/>
        </w:rPr>
        <w:t>Exchange-Rate Risk</w:t>
      </w:r>
    </w:p>
    <w:p w:rsidR="00E654FC" w:rsidRPr="005C0F28" w:rsidRDefault="00E654FC" w:rsidP="00E654FC">
      <w:pPr>
        <w:pStyle w:val="ListParagraph"/>
        <w:numPr>
          <w:ilvl w:val="0"/>
          <w:numId w:val="4"/>
        </w:numPr>
        <w:jc w:val="both"/>
        <w:rPr>
          <w:b/>
          <w:sz w:val="22"/>
          <w:szCs w:val="22"/>
        </w:rPr>
      </w:pPr>
      <w:r w:rsidRPr="005C0F28">
        <w:rPr>
          <w:b/>
          <w:sz w:val="22"/>
          <w:szCs w:val="22"/>
        </w:rPr>
        <w:t>Liquidity Risk</w:t>
      </w:r>
    </w:p>
    <w:p w:rsidR="00E654FC" w:rsidRPr="005C0F28" w:rsidRDefault="00E654FC" w:rsidP="00E654FC">
      <w:pPr>
        <w:pStyle w:val="ListParagraph"/>
        <w:numPr>
          <w:ilvl w:val="0"/>
          <w:numId w:val="4"/>
        </w:numPr>
        <w:jc w:val="both"/>
        <w:rPr>
          <w:b/>
          <w:sz w:val="22"/>
          <w:szCs w:val="22"/>
        </w:rPr>
      </w:pPr>
      <w:r w:rsidRPr="005C0F28">
        <w:rPr>
          <w:b/>
          <w:sz w:val="22"/>
          <w:szCs w:val="22"/>
        </w:rPr>
        <w:t>Volatility Risk</w:t>
      </w:r>
    </w:p>
    <w:p w:rsidR="00E654FC" w:rsidRPr="005C0F28" w:rsidRDefault="00E654FC" w:rsidP="00E654FC">
      <w:pPr>
        <w:pStyle w:val="ListParagraph"/>
        <w:numPr>
          <w:ilvl w:val="0"/>
          <w:numId w:val="4"/>
        </w:numPr>
        <w:jc w:val="both"/>
        <w:rPr>
          <w:b/>
          <w:sz w:val="22"/>
          <w:szCs w:val="22"/>
        </w:rPr>
      </w:pPr>
      <w:r w:rsidRPr="005C0F28">
        <w:rPr>
          <w:b/>
          <w:sz w:val="22"/>
          <w:szCs w:val="22"/>
        </w:rPr>
        <w:t>Risk Risk</w:t>
      </w:r>
    </w:p>
    <w:p w:rsidR="00FB20BD" w:rsidRPr="005C0F28" w:rsidRDefault="00FB20BD" w:rsidP="00FB20BD">
      <w:pPr>
        <w:pStyle w:val="ListParagraph"/>
        <w:ind w:left="360"/>
        <w:rPr>
          <w:b/>
          <w:sz w:val="22"/>
          <w:szCs w:val="22"/>
        </w:rPr>
      </w:pPr>
    </w:p>
    <w:p w:rsidR="00E654FC" w:rsidRDefault="00E654FC" w:rsidP="00E654FC">
      <w:pPr>
        <w:pStyle w:val="ListParagraph"/>
        <w:numPr>
          <w:ilvl w:val="0"/>
          <w:numId w:val="1"/>
        </w:numPr>
        <w:rPr>
          <w:b/>
          <w:sz w:val="22"/>
          <w:szCs w:val="22"/>
        </w:rPr>
      </w:pPr>
      <w:r w:rsidRPr="005C0F28">
        <w:rPr>
          <w:b/>
          <w:sz w:val="22"/>
          <w:szCs w:val="22"/>
        </w:rPr>
        <w:t>What is LIBOR?  How is it set?</w:t>
      </w:r>
    </w:p>
    <w:p w:rsidR="002A7605" w:rsidRDefault="002A7605" w:rsidP="002A7605">
      <w:pPr>
        <w:pStyle w:val="ListParagraph"/>
        <w:ind w:left="360"/>
        <w:rPr>
          <w:b/>
          <w:sz w:val="22"/>
          <w:szCs w:val="22"/>
        </w:rPr>
      </w:pPr>
    </w:p>
    <w:p w:rsidR="002A7605" w:rsidRDefault="002A7605" w:rsidP="002A7605">
      <w:pPr>
        <w:ind w:left="360"/>
        <w:rPr>
          <w:sz w:val="22"/>
          <w:szCs w:val="22"/>
        </w:rPr>
      </w:pPr>
      <w:hyperlink r:id="rId7" w:history="1">
        <w:r w:rsidRPr="002A7605">
          <w:rPr>
            <w:rStyle w:val="Hyperlink"/>
            <w:sz w:val="22"/>
            <w:szCs w:val="22"/>
          </w:rPr>
          <w:t>See this discussion.</w:t>
        </w:r>
      </w:hyperlink>
    </w:p>
    <w:p w:rsidR="002A7605" w:rsidRDefault="002A7605" w:rsidP="002A7605">
      <w:pPr>
        <w:ind w:left="360"/>
        <w:rPr>
          <w:sz w:val="22"/>
          <w:szCs w:val="22"/>
        </w:rPr>
      </w:pPr>
    </w:p>
    <w:p w:rsidR="002A7605" w:rsidRPr="002A7605" w:rsidRDefault="002A7605" w:rsidP="002A7605">
      <w:pPr>
        <w:ind w:left="360"/>
        <w:rPr>
          <w:sz w:val="22"/>
          <w:szCs w:val="22"/>
        </w:rPr>
      </w:pPr>
      <w:r>
        <w:rPr>
          <w:sz w:val="22"/>
          <w:szCs w:val="22"/>
        </w:rPr>
        <w:t>“</w:t>
      </w:r>
      <w:r w:rsidRPr="002A7605">
        <w:rPr>
          <w:sz w:val="22"/>
          <w:szCs w:val="22"/>
        </w:rPr>
        <w:t>Each morning, just before 11 a.m. Greenwich Mean Time, the ICE Benchmark Administration (IBA) asks a panel of contributor banks (usually 11 to 18 large, international banks</w:t>
      </w:r>
      <w:r>
        <w:rPr>
          <w:sz w:val="22"/>
          <w:szCs w:val="22"/>
        </w:rPr>
        <w:t xml:space="preserve"> located in London</w:t>
      </w:r>
      <w:r w:rsidRPr="002A7605">
        <w:rPr>
          <w:sz w:val="22"/>
          <w:szCs w:val="22"/>
        </w:rPr>
        <w:t xml:space="preserve">) to answer the following question: </w:t>
      </w:r>
      <w:r>
        <w:rPr>
          <w:sz w:val="22"/>
          <w:szCs w:val="22"/>
        </w:rPr>
        <w:t>‘</w:t>
      </w:r>
      <w:r w:rsidRPr="002A7605">
        <w:rPr>
          <w:sz w:val="22"/>
          <w:szCs w:val="22"/>
        </w:rPr>
        <w:t>At what rate could you borrow funds, were you to do so by asking for and then accepting interbank offers in a reasonable market size just prior to 11 a.m. London time?</w:t>
      </w:r>
      <w:r>
        <w:rPr>
          <w:sz w:val="22"/>
          <w:szCs w:val="22"/>
        </w:rPr>
        <w:t>’</w:t>
      </w:r>
      <w:bookmarkStart w:id="0" w:name="_GoBack"/>
      <w:bookmarkEnd w:id="0"/>
      <w:r>
        <w:rPr>
          <w:sz w:val="22"/>
          <w:szCs w:val="22"/>
        </w:rPr>
        <w:t>”</w:t>
      </w:r>
    </w:p>
    <w:sectPr w:rsidR="002A7605" w:rsidRPr="002A7605" w:rsidSect="009C278D">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A54" w:rsidRDefault="00A72A54">
      <w:r>
        <w:separator/>
      </w:r>
    </w:p>
  </w:endnote>
  <w:endnote w:type="continuationSeparator" w:id="0">
    <w:p w:rsidR="00A72A54" w:rsidRDefault="00A7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0B" w:rsidRDefault="00B6385D" w:rsidP="00AD6041">
    <w:pPr>
      <w:pStyle w:val="Footer"/>
      <w:framePr w:wrap="around" w:vAnchor="text" w:hAnchor="margin" w:xAlign="right" w:y="1"/>
      <w:rPr>
        <w:rStyle w:val="PageNumber"/>
      </w:rPr>
    </w:pPr>
    <w:r>
      <w:rPr>
        <w:rStyle w:val="PageNumber"/>
      </w:rPr>
      <w:fldChar w:fldCharType="begin"/>
    </w:r>
    <w:r w:rsidR="00FC530B">
      <w:rPr>
        <w:rStyle w:val="PageNumber"/>
      </w:rPr>
      <w:instrText xml:space="preserve">PAGE  </w:instrText>
    </w:r>
    <w:r>
      <w:rPr>
        <w:rStyle w:val="PageNumber"/>
      </w:rPr>
      <w:fldChar w:fldCharType="end"/>
    </w:r>
  </w:p>
  <w:p w:rsidR="00FC530B" w:rsidRDefault="00FC530B" w:rsidP="00AD60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0B" w:rsidRPr="00AD6041" w:rsidRDefault="00B6385D" w:rsidP="00AD6041">
    <w:pPr>
      <w:pStyle w:val="Footer"/>
      <w:framePr w:wrap="around" w:vAnchor="text" w:hAnchor="margin" w:xAlign="right" w:y="1"/>
      <w:jc w:val="right"/>
      <w:rPr>
        <w:rStyle w:val="PageNumber"/>
      </w:rPr>
    </w:pPr>
    <w:r w:rsidRPr="00AD6041">
      <w:rPr>
        <w:rStyle w:val="PageNumber"/>
      </w:rPr>
      <w:fldChar w:fldCharType="begin"/>
    </w:r>
    <w:r w:rsidR="00FC530B" w:rsidRPr="00AD6041">
      <w:rPr>
        <w:rStyle w:val="PageNumber"/>
      </w:rPr>
      <w:instrText xml:space="preserve">PAGE  </w:instrText>
    </w:r>
    <w:r w:rsidRPr="00AD6041">
      <w:rPr>
        <w:rStyle w:val="PageNumber"/>
      </w:rPr>
      <w:fldChar w:fldCharType="separate"/>
    </w:r>
    <w:r w:rsidR="004D0842">
      <w:rPr>
        <w:rStyle w:val="PageNumber"/>
        <w:noProof/>
      </w:rPr>
      <w:t>4</w:t>
    </w:r>
    <w:r w:rsidRPr="00AD6041">
      <w:rPr>
        <w:rStyle w:val="PageNumber"/>
      </w:rPr>
      <w:fldChar w:fldCharType="end"/>
    </w:r>
  </w:p>
  <w:p w:rsidR="00FC530B" w:rsidRPr="00AD6041" w:rsidRDefault="00FC530B" w:rsidP="00AD60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A54" w:rsidRDefault="00A72A54">
      <w:r>
        <w:separator/>
      </w:r>
    </w:p>
  </w:footnote>
  <w:footnote w:type="continuationSeparator" w:id="0">
    <w:p w:rsidR="00A72A54" w:rsidRDefault="00A72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1F1"/>
    <w:multiLevelType w:val="hybridMultilevel"/>
    <w:tmpl w:val="C0868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74135"/>
    <w:multiLevelType w:val="hybridMultilevel"/>
    <w:tmpl w:val="C55276A2"/>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A6EAF"/>
    <w:multiLevelType w:val="hybridMultilevel"/>
    <w:tmpl w:val="EE94272E"/>
    <w:lvl w:ilvl="0" w:tplc="2D64C96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D75FB9"/>
    <w:multiLevelType w:val="hybridMultilevel"/>
    <w:tmpl w:val="2212855A"/>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04BAD"/>
    <w:multiLevelType w:val="hybridMultilevel"/>
    <w:tmpl w:val="2212855A"/>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B0F1F"/>
    <w:multiLevelType w:val="hybridMultilevel"/>
    <w:tmpl w:val="9AFEACBA"/>
    <w:lvl w:ilvl="0" w:tplc="82347E7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E951E1"/>
    <w:multiLevelType w:val="hybridMultilevel"/>
    <w:tmpl w:val="6B809D3C"/>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166CD"/>
    <w:multiLevelType w:val="hybridMultilevel"/>
    <w:tmpl w:val="77B241B6"/>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57BDF"/>
    <w:multiLevelType w:val="hybridMultilevel"/>
    <w:tmpl w:val="90E65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CD71F7"/>
    <w:multiLevelType w:val="hybridMultilevel"/>
    <w:tmpl w:val="EC0AFE7C"/>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A139D"/>
    <w:multiLevelType w:val="hybridMultilevel"/>
    <w:tmpl w:val="50949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056FDE"/>
    <w:multiLevelType w:val="hybridMultilevel"/>
    <w:tmpl w:val="D99A64FA"/>
    <w:lvl w:ilvl="0" w:tplc="BAFE51B8">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C6642"/>
    <w:multiLevelType w:val="hybridMultilevel"/>
    <w:tmpl w:val="9FECD2B4"/>
    <w:lvl w:ilvl="0" w:tplc="5E96F5C8">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31910"/>
    <w:multiLevelType w:val="hybridMultilevel"/>
    <w:tmpl w:val="55C4C536"/>
    <w:lvl w:ilvl="0" w:tplc="E1A2BC1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53DC0"/>
    <w:multiLevelType w:val="hybridMultilevel"/>
    <w:tmpl w:val="4FACD2D2"/>
    <w:lvl w:ilvl="0" w:tplc="D018DC2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D168D"/>
    <w:multiLevelType w:val="hybridMultilevel"/>
    <w:tmpl w:val="89027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924E3"/>
    <w:multiLevelType w:val="hybridMultilevel"/>
    <w:tmpl w:val="9490E446"/>
    <w:lvl w:ilvl="0" w:tplc="DE982B20">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A92F79"/>
    <w:multiLevelType w:val="hybridMultilevel"/>
    <w:tmpl w:val="FBE2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5106D"/>
    <w:multiLevelType w:val="hybridMultilevel"/>
    <w:tmpl w:val="91F010BE"/>
    <w:lvl w:ilvl="0" w:tplc="B7585C98">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9B69DF"/>
    <w:multiLevelType w:val="hybridMultilevel"/>
    <w:tmpl w:val="C55276A2"/>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A02B6"/>
    <w:multiLevelType w:val="hybridMultilevel"/>
    <w:tmpl w:val="67988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152758"/>
    <w:multiLevelType w:val="hybridMultilevel"/>
    <w:tmpl w:val="00CABA82"/>
    <w:lvl w:ilvl="0" w:tplc="A34E84A4">
      <w:start w:val="14"/>
      <w:numFmt w:val="decimal"/>
      <w:lvlText w:val="%1."/>
      <w:lvlJc w:val="left"/>
      <w:pPr>
        <w:ind w:left="360" w:hanging="360"/>
      </w:pPr>
      <w:rPr>
        <w:rFonts w:hint="default"/>
      </w:rPr>
    </w:lvl>
    <w:lvl w:ilvl="1" w:tplc="7E8E8A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E10BB"/>
    <w:multiLevelType w:val="hybridMultilevel"/>
    <w:tmpl w:val="2BD84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13"/>
  </w:num>
  <w:num w:numId="4">
    <w:abstractNumId w:val="19"/>
  </w:num>
  <w:num w:numId="5">
    <w:abstractNumId w:val="2"/>
  </w:num>
  <w:num w:numId="6">
    <w:abstractNumId w:val="6"/>
  </w:num>
  <w:num w:numId="7">
    <w:abstractNumId w:val="9"/>
  </w:num>
  <w:num w:numId="8">
    <w:abstractNumId w:val="0"/>
  </w:num>
  <w:num w:numId="9">
    <w:abstractNumId w:val="5"/>
  </w:num>
  <w:num w:numId="10">
    <w:abstractNumId w:val="7"/>
  </w:num>
  <w:num w:numId="11">
    <w:abstractNumId w:val="4"/>
  </w:num>
  <w:num w:numId="12">
    <w:abstractNumId w:val="20"/>
  </w:num>
  <w:num w:numId="13">
    <w:abstractNumId w:val="18"/>
  </w:num>
  <w:num w:numId="14">
    <w:abstractNumId w:val="17"/>
  </w:num>
  <w:num w:numId="15">
    <w:abstractNumId w:val="21"/>
  </w:num>
  <w:num w:numId="16">
    <w:abstractNumId w:val="15"/>
  </w:num>
  <w:num w:numId="17">
    <w:abstractNumId w:val="22"/>
  </w:num>
  <w:num w:numId="18">
    <w:abstractNumId w:val="10"/>
  </w:num>
  <w:num w:numId="19">
    <w:abstractNumId w:val="12"/>
  </w:num>
  <w:num w:numId="20">
    <w:abstractNumId w:val="14"/>
  </w:num>
  <w:num w:numId="21">
    <w:abstractNumId w:val="11"/>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63"/>
    <w:rsid w:val="00001098"/>
    <w:rsid w:val="00035F08"/>
    <w:rsid w:val="000513D9"/>
    <w:rsid w:val="00055CB2"/>
    <w:rsid w:val="00063790"/>
    <w:rsid w:val="000674A1"/>
    <w:rsid w:val="000A7BDD"/>
    <w:rsid w:val="000C3CFE"/>
    <w:rsid w:val="000D1710"/>
    <w:rsid w:val="000E181D"/>
    <w:rsid w:val="000E5D75"/>
    <w:rsid w:val="0010447E"/>
    <w:rsid w:val="00104BF1"/>
    <w:rsid w:val="001162FD"/>
    <w:rsid w:val="001366F4"/>
    <w:rsid w:val="00145189"/>
    <w:rsid w:val="00161A7D"/>
    <w:rsid w:val="00176A72"/>
    <w:rsid w:val="00181980"/>
    <w:rsid w:val="001843CA"/>
    <w:rsid w:val="00195E7C"/>
    <w:rsid w:val="00197063"/>
    <w:rsid w:val="001A49D6"/>
    <w:rsid w:val="001A5B7D"/>
    <w:rsid w:val="001B1926"/>
    <w:rsid w:val="001B6003"/>
    <w:rsid w:val="001C23D9"/>
    <w:rsid w:val="001C545E"/>
    <w:rsid w:val="001E7E5C"/>
    <w:rsid w:val="001F360F"/>
    <w:rsid w:val="001F6C37"/>
    <w:rsid w:val="00201957"/>
    <w:rsid w:val="00202252"/>
    <w:rsid w:val="002063FE"/>
    <w:rsid w:val="00234B9A"/>
    <w:rsid w:val="00245FA7"/>
    <w:rsid w:val="002469F8"/>
    <w:rsid w:val="00267E54"/>
    <w:rsid w:val="0029496F"/>
    <w:rsid w:val="002A63BD"/>
    <w:rsid w:val="002A7605"/>
    <w:rsid w:val="002B12D4"/>
    <w:rsid w:val="0032793B"/>
    <w:rsid w:val="003337C1"/>
    <w:rsid w:val="00333CC6"/>
    <w:rsid w:val="00337B29"/>
    <w:rsid w:val="00344D67"/>
    <w:rsid w:val="00352E9C"/>
    <w:rsid w:val="0035714C"/>
    <w:rsid w:val="003756F7"/>
    <w:rsid w:val="003C1C00"/>
    <w:rsid w:val="003D4878"/>
    <w:rsid w:val="003E2843"/>
    <w:rsid w:val="003F0545"/>
    <w:rsid w:val="00402898"/>
    <w:rsid w:val="00421CDB"/>
    <w:rsid w:val="00430FC0"/>
    <w:rsid w:val="004434CF"/>
    <w:rsid w:val="00451138"/>
    <w:rsid w:val="004602C7"/>
    <w:rsid w:val="00462E20"/>
    <w:rsid w:val="004776A0"/>
    <w:rsid w:val="00491EBE"/>
    <w:rsid w:val="004B5081"/>
    <w:rsid w:val="004D0842"/>
    <w:rsid w:val="004D3299"/>
    <w:rsid w:val="004E7B08"/>
    <w:rsid w:val="004E7C99"/>
    <w:rsid w:val="004F1205"/>
    <w:rsid w:val="0051123A"/>
    <w:rsid w:val="00511694"/>
    <w:rsid w:val="005849E7"/>
    <w:rsid w:val="005A5FAC"/>
    <w:rsid w:val="005B0545"/>
    <w:rsid w:val="005C0F28"/>
    <w:rsid w:val="005C1495"/>
    <w:rsid w:val="0060362E"/>
    <w:rsid w:val="0062608D"/>
    <w:rsid w:val="0064582A"/>
    <w:rsid w:val="00651613"/>
    <w:rsid w:val="00653482"/>
    <w:rsid w:val="00653BCD"/>
    <w:rsid w:val="0065647C"/>
    <w:rsid w:val="0066636C"/>
    <w:rsid w:val="006A3ECD"/>
    <w:rsid w:val="006D5D2F"/>
    <w:rsid w:val="00730ED4"/>
    <w:rsid w:val="00732F1A"/>
    <w:rsid w:val="007864BB"/>
    <w:rsid w:val="00786F41"/>
    <w:rsid w:val="007B0141"/>
    <w:rsid w:val="007B275D"/>
    <w:rsid w:val="007B6B83"/>
    <w:rsid w:val="007B7CE0"/>
    <w:rsid w:val="007E3E05"/>
    <w:rsid w:val="007F058C"/>
    <w:rsid w:val="007F769A"/>
    <w:rsid w:val="00802341"/>
    <w:rsid w:val="008310EF"/>
    <w:rsid w:val="008407B9"/>
    <w:rsid w:val="00854084"/>
    <w:rsid w:val="00875C37"/>
    <w:rsid w:val="00876144"/>
    <w:rsid w:val="0088451F"/>
    <w:rsid w:val="00894ED0"/>
    <w:rsid w:val="008C18F3"/>
    <w:rsid w:val="008D7867"/>
    <w:rsid w:val="008E0E67"/>
    <w:rsid w:val="00915561"/>
    <w:rsid w:val="0093274C"/>
    <w:rsid w:val="00942E79"/>
    <w:rsid w:val="00967D35"/>
    <w:rsid w:val="009B2094"/>
    <w:rsid w:val="009C278D"/>
    <w:rsid w:val="009D7EC4"/>
    <w:rsid w:val="009F39FB"/>
    <w:rsid w:val="00A05500"/>
    <w:rsid w:val="00A52B7E"/>
    <w:rsid w:val="00A54C56"/>
    <w:rsid w:val="00A72A54"/>
    <w:rsid w:val="00A73893"/>
    <w:rsid w:val="00A7451E"/>
    <w:rsid w:val="00A94F5B"/>
    <w:rsid w:val="00A9657E"/>
    <w:rsid w:val="00A96FF4"/>
    <w:rsid w:val="00A976F1"/>
    <w:rsid w:val="00AA38DD"/>
    <w:rsid w:val="00AA6336"/>
    <w:rsid w:val="00AB63B9"/>
    <w:rsid w:val="00AC61B4"/>
    <w:rsid w:val="00AD6041"/>
    <w:rsid w:val="00AF2BE1"/>
    <w:rsid w:val="00B10466"/>
    <w:rsid w:val="00B11643"/>
    <w:rsid w:val="00B2428C"/>
    <w:rsid w:val="00B35108"/>
    <w:rsid w:val="00B53DE1"/>
    <w:rsid w:val="00B6385D"/>
    <w:rsid w:val="00B80CD0"/>
    <w:rsid w:val="00B9528F"/>
    <w:rsid w:val="00BA6DE8"/>
    <w:rsid w:val="00BD46B3"/>
    <w:rsid w:val="00BE5D21"/>
    <w:rsid w:val="00BF73B4"/>
    <w:rsid w:val="00C03494"/>
    <w:rsid w:val="00C11607"/>
    <w:rsid w:val="00C159E4"/>
    <w:rsid w:val="00C16FF4"/>
    <w:rsid w:val="00C308F3"/>
    <w:rsid w:val="00C402B5"/>
    <w:rsid w:val="00C50FD4"/>
    <w:rsid w:val="00C54C49"/>
    <w:rsid w:val="00C61398"/>
    <w:rsid w:val="00C61A69"/>
    <w:rsid w:val="00C61FD0"/>
    <w:rsid w:val="00C67421"/>
    <w:rsid w:val="00C73018"/>
    <w:rsid w:val="00C74C92"/>
    <w:rsid w:val="00C90DA2"/>
    <w:rsid w:val="00C92E7E"/>
    <w:rsid w:val="00C936D3"/>
    <w:rsid w:val="00CA3D12"/>
    <w:rsid w:val="00CB1A49"/>
    <w:rsid w:val="00CC2BB4"/>
    <w:rsid w:val="00CD79B6"/>
    <w:rsid w:val="00D21343"/>
    <w:rsid w:val="00D36E2D"/>
    <w:rsid w:val="00D548DA"/>
    <w:rsid w:val="00D73D6F"/>
    <w:rsid w:val="00D75A0A"/>
    <w:rsid w:val="00D903EA"/>
    <w:rsid w:val="00D9242E"/>
    <w:rsid w:val="00DA7BB2"/>
    <w:rsid w:val="00DC728F"/>
    <w:rsid w:val="00DD4522"/>
    <w:rsid w:val="00DE2C03"/>
    <w:rsid w:val="00DF1BD6"/>
    <w:rsid w:val="00DF7C90"/>
    <w:rsid w:val="00E16282"/>
    <w:rsid w:val="00E20D08"/>
    <w:rsid w:val="00E30A2D"/>
    <w:rsid w:val="00E4322E"/>
    <w:rsid w:val="00E54299"/>
    <w:rsid w:val="00E654FC"/>
    <w:rsid w:val="00E81494"/>
    <w:rsid w:val="00E8166D"/>
    <w:rsid w:val="00E81E12"/>
    <w:rsid w:val="00E852C7"/>
    <w:rsid w:val="00E95E25"/>
    <w:rsid w:val="00EA4A08"/>
    <w:rsid w:val="00ED277A"/>
    <w:rsid w:val="00EF0483"/>
    <w:rsid w:val="00EF64D9"/>
    <w:rsid w:val="00EF7145"/>
    <w:rsid w:val="00F03E2C"/>
    <w:rsid w:val="00F3537B"/>
    <w:rsid w:val="00F35724"/>
    <w:rsid w:val="00F409AE"/>
    <w:rsid w:val="00F519A7"/>
    <w:rsid w:val="00F6273D"/>
    <w:rsid w:val="00F76431"/>
    <w:rsid w:val="00F84107"/>
    <w:rsid w:val="00F96F95"/>
    <w:rsid w:val="00FB20BD"/>
    <w:rsid w:val="00FB27E6"/>
    <w:rsid w:val="00FB7FA0"/>
    <w:rsid w:val="00FC530B"/>
    <w:rsid w:val="00FD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D972CF-C28D-4293-9890-C11FA236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8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37B2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A7BDD"/>
    <w:rPr>
      <w:rFonts w:ascii="Courier New" w:hAnsi="Courier New" w:cs="Courier New"/>
      <w:sz w:val="20"/>
      <w:szCs w:val="20"/>
    </w:rPr>
  </w:style>
  <w:style w:type="paragraph" w:styleId="Footer">
    <w:name w:val="footer"/>
    <w:basedOn w:val="Normal"/>
    <w:link w:val="FooterChar"/>
    <w:uiPriority w:val="99"/>
    <w:rsid w:val="00730ED4"/>
    <w:pPr>
      <w:tabs>
        <w:tab w:val="center" w:pos="4320"/>
        <w:tab w:val="right" w:pos="8640"/>
      </w:tabs>
    </w:pPr>
  </w:style>
  <w:style w:type="character" w:customStyle="1" w:styleId="FooterChar">
    <w:name w:val="Footer Char"/>
    <w:basedOn w:val="DefaultParagraphFont"/>
    <w:link w:val="Footer"/>
    <w:uiPriority w:val="99"/>
    <w:semiHidden/>
    <w:locked/>
    <w:rsid w:val="000A7BDD"/>
    <w:rPr>
      <w:rFonts w:cs="Times New Roman"/>
      <w:sz w:val="24"/>
      <w:szCs w:val="24"/>
    </w:rPr>
  </w:style>
  <w:style w:type="character" w:styleId="PageNumber">
    <w:name w:val="page number"/>
    <w:basedOn w:val="DefaultParagraphFont"/>
    <w:uiPriority w:val="99"/>
    <w:rsid w:val="00730ED4"/>
    <w:rPr>
      <w:rFonts w:cs="Times New Roman"/>
    </w:rPr>
  </w:style>
  <w:style w:type="paragraph" w:styleId="Header">
    <w:name w:val="header"/>
    <w:basedOn w:val="Normal"/>
    <w:link w:val="HeaderChar"/>
    <w:uiPriority w:val="99"/>
    <w:rsid w:val="00730ED4"/>
    <w:pPr>
      <w:tabs>
        <w:tab w:val="center" w:pos="4320"/>
        <w:tab w:val="right" w:pos="8640"/>
      </w:tabs>
    </w:pPr>
  </w:style>
  <w:style w:type="character" w:customStyle="1" w:styleId="HeaderChar">
    <w:name w:val="Header Char"/>
    <w:basedOn w:val="DefaultParagraphFont"/>
    <w:link w:val="Header"/>
    <w:uiPriority w:val="99"/>
    <w:semiHidden/>
    <w:locked/>
    <w:rsid w:val="000A7BDD"/>
    <w:rPr>
      <w:rFonts w:cs="Times New Roman"/>
      <w:sz w:val="24"/>
      <w:szCs w:val="24"/>
    </w:rPr>
  </w:style>
  <w:style w:type="character" w:styleId="Hyperlink">
    <w:name w:val="Hyperlink"/>
    <w:basedOn w:val="DefaultParagraphFont"/>
    <w:uiPriority w:val="99"/>
    <w:rsid w:val="004E7B08"/>
    <w:rPr>
      <w:rFonts w:cs="Times New Roman"/>
      <w:color w:val="0000FF"/>
      <w:u w:val="single"/>
    </w:rPr>
  </w:style>
  <w:style w:type="paragraph" w:styleId="ListParagraph">
    <w:name w:val="List Paragraph"/>
    <w:basedOn w:val="Normal"/>
    <w:uiPriority w:val="34"/>
    <w:qFormat/>
    <w:rsid w:val="00460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vestopedia.com/ask/answers/12/how-is-libor-determined.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7185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CHAPTER 1</vt:lpstr>
    </vt:vector>
  </TitlesOfParts>
  <Company>Washburn University</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Rob Hull</dc:creator>
  <cp:lastModifiedBy>David Michael Gross</cp:lastModifiedBy>
  <cp:revision>2</cp:revision>
  <dcterms:created xsi:type="dcterms:W3CDTF">2019-01-16T22:49:00Z</dcterms:created>
  <dcterms:modified xsi:type="dcterms:W3CDTF">2019-01-16T22:49:00Z</dcterms:modified>
</cp:coreProperties>
</file>